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3E" w:rsidRDefault="004D59A1" w:rsidP="00726B3E">
      <w:pPr>
        <w:jc w:val="center"/>
        <w:rPr>
          <w:rFonts w:ascii="Arial" w:hAnsi="Arial" w:cs="Arial"/>
          <w:b/>
          <w:sz w:val="24"/>
          <w:szCs w:val="24"/>
        </w:rPr>
      </w:pPr>
      <w:r w:rsidRPr="004D59A1">
        <w:rPr>
          <w:rFonts w:ascii="Arial" w:hAnsi="Arial" w:cs="Arial"/>
          <w:b/>
          <w:sz w:val="24"/>
          <w:szCs w:val="24"/>
        </w:rPr>
        <w:t>ÍNDICE E FREQUÊNCIA DE DORES EM PROFISSIONAIS DO SERVIÇO DE REABILITAÇÃO FÍSICA BAGÉ-RS</w:t>
      </w:r>
    </w:p>
    <w:p w:rsidR="00D351C5" w:rsidRPr="000F134F" w:rsidRDefault="00D351C5" w:rsidP="000B1F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6B2">
        <w:rPr>
          <w:rFonts w:ascii="Arial" w:hAnsi="Arial" w:cs="Arial"/>
          <w:sz w:val="24"/>
          <w:szCs w:val="24"/>
        </w:rPr>
        <w:t>Os Distúrbios Osteomusculares Relacionados ao Trabalho (DORT) são caracterizados pela ocorrência de vários sin</w:t>
      </w:r>
      <w:r w:rsidR="00B27F15">
        <w:rPr>
          <w:rFonts w:ascii="Arial" w:hAnsi="Arial" w:cs="Arial"/>
          <w:sz w:val="24"/>
          <w:szCs w:val="24"/>
        </w:rPr>
        <w:t>tomas ligados diretamente</w:t>
      </w:r>
      <w:r w:rsidRPr="00FA56B2">
        <w:rPr>
          <w:rFonts w:ascii="Arial" w:hAnsi="Arial" w:cs="Arial"/>
          <w:sz w:val="24"/>
          <w:szCs w:val="24"/>
        </w:rPr>
        <w:t xml:space="preserve"> à prática profissional. São as combinações da sobrecarga do sistema osteomuscular com a falta de tempo para a sua recuperação. </w:t>
      </w:r>
      <w:r w:rsidR="00D3072B" w:rsidRPr="00FA56B2">
        <w:rPr>
          <w:rFonts w:ascii="Arial" w:hAnsi="Arial" w:cs="Arial"/>
          <w:sz w:val="24"/>
          <w:szCs w:val="24"/>
        </w:rPr>
        <w:t>Os sintomas iniciais dos DORT podem incluir dor, sensação de cansaço e formigamento no membro afetado o que pode, em alguns casos, ser confundido com fadiga muscular. Com a evolução dos sintomas, os portadores de DORT podem exibir quadros severos de incapacidade funcional incluindo grande restrição nos movimentos e força e quadros álgicos intensos.</w:t>
      </w:r>
      <w:r w:rsidR="00CB40C7" w:rsidRPr="00FA56B2">
        <w:rPr>
          <w:rFonts w:ascii="Arial" w:hAnsi="Arial" w:cs="Arial"/>
          <w:sz w:val="24"/>
          <w:szCs w:val="24"/>
        </w:rPr>
        <w:t xml:space="preserve"> </w:t>
      </w:r>
      <w:r w:rsidR="00D3072B" w:rsidRPr="00FA56B2">
        <w:rPr>
          <w:rFonts w:ascii="Arial" w:hAnsi="Arial" w:cs="Arial"/>
          <w:sz w:val="24"/>
          <w:szCs w:val="24"/>
        </w:rPr>
        <w:t>ILIDIO</w:t>
      </w:r>
      <w:r w:rsidR="00B27F15">
        <w:rPr>
          <w:rFonts w:ascii="Arial" w:hAnsi="Arial" w:cs="Arial"/>
          <w:sz w:val="24"/>
          <w:szCs w:val="24"/>
        </w:rPr>
        <w:t xml:space="preserve"> </w:t>
      </w:r>
      <w:r w:rsidR="00D3072B" w:rsidRPr="00FA56B2">
        <w:rPr>
          <w:rFonts w:ascii="Arial" w:hAnsi="Arial" w:cs="Arial"/>
          <w:sz w:val="24"/>
          <w:szCs w:val="24"/>
        </w:rPr>
        <w:t>(2006)</w:t>
      </w:r>
      <w:r w:rsidR="00791AB7" w:rsidRPr="00FA56B2">
        <w:rPr>
          <w:rFonts w:ascii="Arial" w:hAnsi="Arial" w:cs="Arial"/>
          <w:sz w:val="24"/>
          <w:szCs w:val="24"/>
        </w:rPr>
        <w:t>.</w:t>
      </w:r>
      <w:r w:rsidR="00B27F15" w:rsidRPr="00B27F15">
        <w:rPr>
          <w:rFonts w:ascii="Arial" w:hAnsi="Arial" w:cs="Arial"/>
          <w:sz w:val="24"/>
          <w:szCs w:val="24"/>
        </w:rPr>
        <w:t xml:space="preserve"> </w:t>
      </w:r>
      <w:r w:rsidR="00B27F15">
        <w:rPr>
          <w:rFonts w:ascii="Arial" w:hAnsi="Arial" w:cs="Arial"/>
          <w:sz w:val="24"/>
          <w:szCs w:val="24"/>
        </w:rPr>
        <w:t>Desta forma o presente estudo teve como</w:t>
      </w:r>
      <w:r w:rsidR="00B27F15" w:rsidRPr="00FA56B2">
        <w:rPr>
          <w:rFonts w:ascii="Arial" w:hAnsi="Arial" w:cs="Arial"/>
          <w:sz w:val="24"/>
          <w:szCs w:val="24"/>
        </w:rPr>
        <w:t xml:space="preserve"> objetivo analisar </w:t>
      </w:r>
      <w:r w:rsidR="00B27F15">
        <w:rPr>
          <w:rFonts w:ascii="Arial" w:hAnsi="Arial" w:cs="Arial"/>
          <w:sz w:val="24"/>
          <w:szCs w:val="24"/>
        </w:rPr>
        <w:t>a</w:t>
      </w:r>
      <w:r w:rsidR="00B27F15" w:rsidRPr="00FA56B2">
        <w:rPr>
          <w:rFonts w:ascii="Arial" w:hAnsi="Arial" w:cs="Arial"/>
          <w:sz w:val="24"/>
          <w:szCs w:val="24"/>
        </w:rPr>
        <w:t xml:space="preserve"> frequência de dores </w:t>
      </w:r>
      <w:r w:rsidR="00B27F15">
        <w:rPr>
          <w:rFonts w:ascii="Arial" w:hAnsi="Arial" w:cs="Arial"/>
          <w:sz w:val="24"/>
          <w:szCs w:val="24"/>
        </w:rPr>
        <w:t xml:space="preserve">osteomusculares </w:t>
      </w:r>
      <w:r w:rsidR="00B27F15" w:rsidRPr="00FA56B2">
        <w:rPr>
          <w:rFonts w:ascii="Arial" w:hAnsi="Arial" w:cs="Arial"/>
          <w:sz w:val="24"/>
          <w:szCs w:val="24"/>
        </w:rPr>
        <w:t xml:space="preserve">em </w:t>
      </w:r>
      <w:r w:rsidR="00B27F15">
        <w:rPr>
          <w:rFonts w:ascii="Arial" w:hAnsi="Arial" w:cs="Arial"/>
          <w:sz w:val="24"/>
          <w:szCs w:val="24"/>
        </w:rPr>
        <w:t xml:space="preserve">fisioterapeutas que atuam em um Serviço de Reabilitação Física. </w:t>
      </w:r>
      <w:r w:rsidR="00791AB7" w:rsidRPr="006F63D4">
        <w:rPr>
          <w:rFonts w:ascii="Arial" w:hAnsi="Arial" w:cs="Arial"/>
          <w:color w:val="000000"/>
          <w:sz w:val="24"/>
          <w:szCs w:val="24"/>
        </w:rPr>
        <w:t>Este estudo caracteriza-se por uma pesquisa de</w:t>
      </w:r>
      <w:r w:rsidR="00B27F15">
        <w:rPr>
          <w:rFonts w:ascii="Arial" w:hAnsi="Arial" w:cs="Arial"/>
          <w:color w:val="000000"/>
          <w:sz w:val="24"/>
          <w:szCs w:val="24"/>
        </w:rPr>
        <w:t>scritiva do tipo quantitativa, foi</w:t>
      </w:r>
      <w:r w:rsidR="00791AB7" w:rsidRPr="006F63D4">
        <w:rPr>
          <w:rFonts w:ascii="Arial" w:hAnsi="Arial" w:cs="Arial"/>
          <w:color w:val="000000"/>
          <w:sz w:val="24"/>
          <w:szCs w:val="24"/>
        </w:rPr>
        <w:t xml:space="preserve"> </w:t>
      </w:r>
      <w:r w:rsidR="00B27F15" w:rsidRPr="00B27F15">
        <w:rPr>
          <w:rFonts w:ascii="Arial" w:hAnsi="Arial" w:cs="Arial"/>
          <w:sz w:val="24"/>
          <w:szCs w:val="24"/>
        </w:rPr>
        <w:t xml:space="preserve">utilizando </w:t>
      </w:r>
      <w:r w:rsidR="00B27F15">
        <w:rPr>
          <w:rFonts w:ascii="Arial" w:hAnsi="Arial" w:cs="Arial"/>
          <w:sz w:val="24"/>
          <w:szCs w:val="24"/>
        </w:rPr>
        <w:t xml:space="preserve">o </w:t>
      </w:r>
      <w:r w:rsidR="00B27F15" w:rsidRPr="00B27F15">
        <w:rPr>
          <w:rFonts w:ascii="Arial" w:hAnsi="Arial" w:cs="Arial"/>
          <w:sz w:val="24"/>
          <w:szCs w:val="24"/>
        </w:rPr>
        <w:t>questionário</w:t>
      </w:r>
      <w:r w:rsidR="00B27F15">
        <w:rPr>
          <w:rFonts w:ascii="Arial" w:hAnsi="Arial" w:cs="Arial"/>
          <w:sz w:val="24"/>
          <w:szCs w:val="24"/>
        </w:rPr>
        <w:t xml:space="preserve"> validado</w:t>
      </w:r>
      <w:r w:rsidR="00B27F15" w:rsidRPr="00B27F15">
        <w:rPr>
          <w:rFonts w:ascii="Arial" w:hAnsi="Arial" w:cs="Arial"/>
          <w:sz w:val="24"/>
          <w:szCs w:val="24"/>
        </w:rPr>
        <w:t xml:space="preserve"> sobre a ocorrência e características de sintomas de DORT, Questionário Nórdico de Sintomas Osteomusculares (QNSO), adaptado de </w:t>
      </w:r>
      <w:proofErr w:type="spellStart"/>
      <w:r w:rsidR="00B27F15" w:rsidRPr="00B27F15">
        <w:rPr>
          <w:rFonts w:ascii="Arial" w:hAnsi="Arial" w:cs="Arial"/>
          <w:sz w:val="24"/>
          <w:szCs w:val="24"/>
        </w:rPr>
        <w:t>Rasia</w:t>
      </w:r>
      <w:proofErr w:type="spellEnd"/>
      <w:r w:rsidR="00B27F15" w:rsidRPr="00B27F15">
        <w:rPr>
          <w:rFonts w:ascii="Arial" w:hAnsi="Arial" w:cs="Arial"/>
          <w:sz w:val="24"/>
          <w:szCs w:val="24"/>
        </w:rPr>
        <w:t xml:space="preserve">, 2004, que permite avaliar sintomas de DORT e sua relação com </w:t>
      </w:r>
      <w:r w:rsidR="00B27F15">
        <w:rPr>
          <w:rFonts w:ascii="Arial" w:hAnsi="Arial" w:cs="Arial"/>
          <w:sz w:val="24"/>
          <w:szCs w:val="24"/>
        </w:rPr>
        <w:t xml:space="preserve">problemas </w:t>
      </w:r>
      <w:r w:rsidR="00B27F15" w:rsidRPr="00B27F15">
        <w:rPr>
          <w:rFonts w:ascii="Arial" w:hAnsi="Arial" w:cs="Arial"/>
          <w:sz w:val="24"/>
          <w:szCs w:val="24"/>
        </w:rPr>
        <w:t xml:space="preserve">osteomuscular, variáveis demográficas, ocupacionais </w:t>
      </w:r>
      <w:r w:rsidR="000F134F">
        <w:rPr>
          <w:rFonts w:ascii="Arial" w:hAnsi="Arial" w:cs="Arial"/>
          <w:sz w:val="24"/>
          <w:szCs w:val="24"/>
        </w:rPr>
        <w:t>e os hábitos pessoais.</w:t>
      </w:r>
      <w:r w:rsidR="00B27F15" w:rsidRPr="00FA56B2">
        <w:t xml:space="preserve"> </w:t>
      </w:r>
      <w:r w:rsidR="00B27F15">
        <w:rPr>
          <w:rFonts w:ascii="Arial" w:hAnsi="Arial" w:cs="Arial"/>
          <w:sz w:val="24"/>
          <w:szCs w:val="24"/>
        </w:rPr>
        <w:t>P</w:t>
      </w:r>
      <w:r w:rsidR="00B27F15" w:rsidRPr="00FA56B2">
        <w:rPr>
          <w:rFonts w:ascii="Arial" w:hAnsi="Arial" w:cs="Arial"/>
          <w:sz w:val="24"/>
          <w:szCs w:val="24"/>
        </w:rPr>
        <w:t xml:space="preserve">articiparam da pesquisa 11 fisioterapeutas de ambos os gêneros, com faixa etária entre 27 a 51 anos </w:t>
      </w:r>
      <w:r w:rsidR="000F134F">
        <w:rPr>
          <w:rFonts w:ascii="Arial" w:hAnsi="Arial" w:cs="Arial"/>
          <w:sz w:val="24"/>
          <w:szCs w:val="24"/>
        </w:rPr>
        <w:t>que assinaram</w:t>
      </w:r>
      <w:r w:rsidR="000F134F" w:rsidRPr="00B27F15">
        <w:rPr>
          <w:rFonts w:ascii="Arial" w:hAnsi="Arial" w:cs="Arial"/>
          <w:sz w:val="24"/>
          <w:szCs w:val="24"/>
        </w:rPr>
        <w:t xml:space="preserve"> ao termo de consentimento livre </w:t>
      </w:r>
      <w:r w:rsidR="000F134F">
        <w:rPr>
          <w:rFonts w:ascii="Arial" w:hAnsi="Arial" w:cs="Arial"/>
          <w:sz w:val="24"/>
          <w:szCs w:val="24"/>
        </w:rPr>
        <w:t xml:space="preserve">e </w:t>
      </w:r>
      <w:r w:rsidR="000F134F" w:rsidRPr="00B27F15">
        <w:rPr>
          <w:rFonts w:ascii="Arial" w:hAnsi="Arial" w:cs="Arial"/>
          <w:sz w:val="24"/>
          <w:szCs w:val="24"/>
        </w:rPr>
        <w:t>esclarecido (TCLE)</w:t>
      </w:r>
      <w:r w:rsidR="000F134F">
        <w:rPr>
          <w:rFonts w:ascii="Arial" w:hAnsi="Arial" w:cs="Arial"/>
          <w:sz w:val="24"/>
          <w:szCs w:val="24"/>
        </w:rPr>
        <w:t>. Para atingir os resultados f</w:t>
      </w:r>
      <w:r w:rsidRPr="000F134F">
        <w:rPr>
          <w:rFonts w:ascii="Arial" w:hAnsi="Arial" w:cs="Arial"/>
          <w:sz w:val="24"/>
          <w:szCs w:val="24"/>
        </w:rPr>
        <w:t xml:space="preserve">oram </w:t>
      </w:r>
      <w:r w:rsidR="000F134F" w:rsidRPr="000F134F">
        <w:rPr>
          <w:rFonts w:ascii="Arial" w:hAnsi="Arial" w:cs="Arial"/>
          <w:sz w:val="24"/>
          <w:szCs w:val="24"/>
        </w:rPr>
        <w:t>calculad</w:t>
      </w:r>
      <w:r w:rsidR="000F134F">
        <w:rPr>
          <w:rFonts w:ascii="Arial" w:hAnsi="Arial" w:cs="Arial"/>
          <w:sz w:val="24"/>
          <w:szCs w:val="24"/>
        </w:rPr>
        <w:t>as as frequências e porcentagens</w:t>
      </w:r>
      <w:r w:rsidRPr="000F134F">
        <w:rPr>
          <w:rFonts w:ascii="Arial" w:hAnsi="Arial" w:cs="Arial"/>
          <w:sz w:val="24"/>
          <w:szCs w:val="24"/>
        </w:rPr>
        <w:t xml:space="preserve"> para as regiões acometidas, dados demográficos e atividades considerando-se também, as possíveis associações entre horas de trabalho, faixa etária e tempo de trabalho. Nos profissionais observou-se que as queixas de dor se concentraram na região cervical (36,36%), região lombar (63,6</w:t>
      </w:r>
      <w:r w:rsidR="000F134F">
        <w:rPr>
          <w:rFonts w:ascii="Arial" w:hAnsi="Arial" w:cs="Arial"/>
          <w:sz w:val="24"/>
          <w:szCs w:val="24"/>
        </w:rPr>
        <w:t>3%), punhos/mãos/dedos (18,18%)</w:t>
      </w:r>
      <w:r w:rsidRPr="000F134F">
        <w:rPr>
          <w:rFonts w:ascii="Arial" w:hAnsi="Arial" w:cs="Arial"/>
          <w:sz w:val="24"/>
          <w:szCs w:val="24"/>
        </w:rPr>
        <w:t>, ombros (36,36%), braços</w:t>
      </w:r>
      <w:r w:rsidR="000F134F">
        <w:rPr>
          <w:rFonts w:ascii="Arial" w:hAnsi="Arial" w:cs="Arial"/>
          <w:sz w:val="24"/>
          <w:szCs w:val="24"/>
        </w:rPr>
        <w:t xml:space="preserve"> </w:t>
      </w:r>
      <w:r w:rsidRPr="000F134F">
        <w:rPr>
          <w:rFonts w:ascii="Arial" w:hAnsi="Arial" w:cs="Arial"/>
          <w:sz w:val="24"/>
          <w:szCs w:val="24"/>
        </w:rPr>
        <w:t>(18,18%), cotovelo</w:t>
      </w:r>
      <w:r w:rsidR="000F134F">
        <w:rPr>
          <w:rFonts w:ascii="Arial" w:hAnsi="Arial" w:cs="Arial"/>
          <w:sz w:val="24"/>
          <w:szCs w:val="24"/>
        </w:rPr>
        <w:t xml:space="preserve"> </w:t>
      </w:r>
      <w:r w:rsidRPr="000F134F">
        <w:rPr>
          <w:rFonts w:ascii="Arial" w:hAnsi="Arial" w:cs="Arial"/>
          <w:sz w:val="24"/>
          <w:szCs w:val="24"/>
        </w:rPr>
        <w:t>(9,09%), antebraço</w:t>
      </w:r>
      <w:r w:rsidR="00D3072B" w:rsidRPr="000F134F">
        <w:rPr>
          <w:rFonts w:ascii="Arial" w:hAnsi="Arial" w:cs="Arial"/>
          <w:sz w:val="24"/>
          <w:szCs w:val="24"/>
        </w:rPr>
        <w:t xml:space="preserve"> </w:t>
      </w:r>
      <w:r w:rsidRPr="000F134F">
        <w:rPr>
          <w:rFonts w:ascii="Arial" w:hAnsi="Arial" w:cs="Arial"/>
          <w:sz w:val="24"/>
          <w:szCs w:val="24"/>
        </w:rPr>
        <w:t>(9,09%), dorsal</w:t>
      </w:r>
      <w:r w:rsidR="000F134F">
        <w:rPr>
          <w:rFonts w:ascii="Arial" w:hAnsi="Arial" w:cs="Arial"/>
          <w:sz w:val="24"/>
          <w:szCs w:val="24"/>
        </w:rPr>
        <w:t xml:space="preserve"> </w:t>
      </w:r>
      <w:r w:rsidRPr="000F134F">
        <w:rPr>
          <w:rFonts w:ascii="Arial" w:hAnsi="Arial" w:cs="Arial"/>
          <w:sz w:val="24"/>
          <w:szCs w:val="24"/>
        </w:rPr>
        <w:t>(0%) e quadril</w:t>
      </w:r>
      <w:r w:rsidR="000F134F">
        <w:rPr>
          <w:rFonts w:ascii="Arial" w:hAnsi="Arial" w:cs="Arial"/>
          <w:sz w:val="24"/>
          <w:szCs w:val="24"/>
        </w:rPr>
        <w:t xml:space="preserve"> </w:t>
      </w:r>
      <w:r w:rsidRPr="000F134F">
        <w:rPr>
          <w:rFonts w:ascii="Arial" w:hAnsi="Arial" w:cs="Arial"/>
          <w:sz w:val="24"/>
          <w:szCs w:val="24"/>
        </w:rPr>
        <w:t>(18,18%).</w:t>
      </w:r>
      <w:r w:rsidR="000F134F">
        <w:rPr>
          <w:rFonts w:ascii="Arial" w:hAnsi="Arial" w:cs="Arial"/>
          <w:sz w:val="24"/>
          <w:szCs w:val="24"/>
        </w:rPr>
        <w:t xml:space="preserve"> Detectou-se que dentre </w:t>
      </w:r>
      <w:r w:rsidR="00CE70C7">
        <w:rPr>
          <w:rFonts w:ascii="Arial" w:hAnsi="Arial" w:cs="Arial"/>
          <w:sz w:val="24"/>
          <w:szCs w:val="24"/>
        </w:rPr>
        <w:t>as regiões</w:t>
      </w:r>
      <w:r w:rsidR="000F134F">
        <w:rPr>
          <w:rFonts w:ascii="Arial" w:hAnsi="Arial" w:cs="Arial"/>
          <w:sz w:val="24"/>
          <w:szCs w:val="24"/>
        </w:rPr>
        <w:t xml:space="preserve"> com maior índice de dores foi </w:t>
      </w:r>
      <w:r w:rsidR="00CE70C7">
        <w:rPr>
          <w:rFonts w:ascii="Arial" w:hAnsi="Arial" w:cs="Arial"/>
          <w:sz w:val="24"/>
          <w:szCs w:val="24"/>
        </w:rPr>
        <w:t>à</w:t>
      </w:r>
      <w:r w:rsidR="000F134F">
        <w:rPr>
          <w:rFonts w:ascii="Arial" w:hAnsi="Arial" w:cs="Arial"/>
          <w:sz w:val="24"/>
          <w:szCs w:val="24"/>
        </w:rPr>
        <w:t xml:space="preserve"> região</w:t>
      </w:r>
      <w:r w:rsidR="00F96E5E" w:rsidRPr="000F134F">
        <w:rPr>
          <w:rFonts w:ascii="Arial" w:hAnsi="Arial" w:cs="Arial"/>
          <w:sz w:val="24"/>
          <w:szCs w:val="24"/>
        </w:rPr>
        <w:t xml:space="preserve"> lombar</w:t>
      </w:r>
      <w:r w:rsidR="00CE70C7">
        <w:rPr>
          <w:rFonts w:ascii="Arial" w:hAnsi="Arial" w:cs="Arial"/>
          <w:sz w:val="24"/>
          <w:szCs w:val="24"/>
        </w:rPr>
        <w:t xml:space="preserve"> fato que podemos concluir que é a região de maior exacerbação de sintomas</w:t>
      </w:r>
      <w:r w:rsidR="008A44B9">
        <w:rPr>
          <w:rFonts w:ascii="Arial" w:hAnsi="Arial" w:cs="Arial"/>
          <w:sz w:val="24"/>
          <w:szCs w:val="24"/>
        </w:rPr>
        <w:t xml:space="preserve"> na maioria dos trabalhadores em</w:t>
      </w:r>
      <w:r w:rsidR="00CE70C7">
        <w:rPr>
          <w:rFonts w:ascii="Arial" w:hAnsi="Arial" w:cs="Arial"/>
          <w:sz w:val="24"/>
          <w:szCs w:val="24"/>
        </w:rPr>
        <w:t xml:space="preserve"> diversos segmentos, não sendo diferente na profissão investigada a qual tem uma função com um desgaste físico e emocional, com </w:t>
      </w:r>
      <w:r w:rsidR="00CE70C7" w:rsidRPr="000F134F">
        <w:rPr>
          <w:rFonts w:ascii="Arial" w:hAnsi="Arial" w:cs="Arial"/>
          <w:sz w:val="24"/>
          <w:szCs w:val="24"/>
        </w:rPr>
        <w:t>grande sobrec</w:t>
      </w:r>
      <w:r w:rsidR="00CE70C7">
        <w:rPr>
          <w:rFonts w:ascii="Arial" w:hAnsi="Arial" w:cs="Arial"/>
          <w:sz w:val="24"/>
          <w:szCs w:val="24"/>
        </w:rPr>
        <w:t xml:space="preserve">arga de atendimentos as quais </w:t>
      </w:r>
      <w:r w:rsidR="008A44B9">
        <w:rPr>
          <w:rFonts w:ascii="Arial" w:hAnsi="Arial" w:cs="Arial"/>
          <w:sz w:val="24"/>
          <w:szCs w:val="24"/>
        </w:rPr>
        <w:t>vão desenvolver</w:t>
      </w:r>
      <w:r w:rsidR="00CE70C7">
        <w:rPr>
          <w:rFonts w:ascii="Arial" w:hAnsi="Arial" w:cs="Arial"/>
          <w:sz w:val="24"/>
          <w:szCs w:val="24"/>
        </w:rPr>
        <w:t xml:space="preserve"> condutas variadas</w:t>
      </w:r>
      <w:r w:rsidR="00CE70C7" w:rsidRPr="000F134F">
        <w:rPr>
          <w:rFonts w:ascii="Arial" w:hAnsi="Arial" w:cs="Arial"/>
          <w:sz w:val="24"/>
          <w:szCs w:val="24"/>
        </w:rPr>
        <w:t xml:space="preserve"> </w:t>
      </w:r>
      <w:r w:rsidR="008A44B9">
        <w:rPr>
          <w:rFonts w:ascii="Arial" w:hAnsi="Arial" w:cs="Arial"/>
          <w:sz w:val="24"/>
          <w:szCs w:val="24"/>
        </w:rPr>
        <w:t>conf</w:t>
      </w:r>
      <w:r w:rsidR="00CE70C7">
        <w:rPr>
          <w:rFonts w:ascii="Arial" w:hAnsi="Arial" w:cs="Arial"/>
          <w:sz w:val="24"/>
          <w:szCs w:val="24"/>
        </w:rPr>
        <w:t>or</w:t>
      </w:r>
      <w:r w:rsidR="008A44B9">
        <w:rPr>
          <w:rFonts w:ascii="Arial" w:hAnsi="Arial" w:cs="Arial"/>
          <w:sz w:val="24"/>
          <w:szCs w:val="24"/>
        </w:rPr>
        <w:t>me</w:t>
      </w:r>
      <w:r w:rsidR="00CE70C7">
        <w:rPr>
          <w:rFonts w:ascii="Arial" w:hAnsi="Arial" w:cs="Arial"/>
          <w:sz w:val="24"/>
          <w:szCs w:val="24"/>
        </w:rPr>
        <w:t xml:space="preserve"> o diagnóstico do paciente, </w:t>
      </w:r>
      <w:r w:rsidR="008A44B9">
        <w:rPr>
          <w:rFonts w:ascii="Arial" w:hAnsi="Arial" w:cs="Arial"/>
          <w:sz w:val="24"/>
          <w:szCs w:val="24"/>
        </w:rPr>
        <w:t>utilizando muitas vezes posturas inadequadas ocasionando um prejuízo à</w:t>
      </w:r>
      <w:r w:rsidR="00CE70C7" w:rsidRPr="000F134F">
        <w:rPr>
          <w:rFonts w:ascii="Arial" w:hAnsi="Arial" w:cs="Arial"/>
          <w:sz w:val="24"/>
          <w:szCs w:val="24"/>
        </w:rPr>
        <w:t xml:space="preserve"> sua saúde.</w:t>
      </w:r>
      <w:r w:rsidR="008A44B9">
        <w:rPr>
          <w:rFonts w:ascii="Arial" w:hAnsi="Arial" w:cs="Arial"/>
          <w:sz w:val="24"/>
          <w:szCs w:val="24"/>
        </w:rPr>
        <w:t xml:space="preserve"> </w:t>
      </w:r>
      <w:r w:rsidR="00F96E5E" w:rsidRPr="000F134F">
        <w:rPr>
          <w:rFonts w:ascii="Arial" w:hAnsi="Arial" w:cs="Arial"/>
          <w:sz w:val="24"/>
          <w:szCs w:val="24"/>
        </w:rPr>
        <w:t>É de fundamental importância à implantação de medidas preventivas, como praticar esportes/exercícios, ter uma alimentação saudável, procurar outros meios de lazer que promovam a saúde e não a doença</w:t>
      </w:r>
      <w:r w:rsidR="00FA56B2" w:rsidRPr="000F134F">
        <w:rPr>
          <w:rFonts w:ascii="Arial" w:hAnsi="Arial" w:cs="Arial"/>
          <w:sz w:val="24"/>
          <w:szCs w:val="24"/>
        </w:rPr>
        <w:t xml:space="preserve"> desses profissionais</w:t>
      </w:r>
      <w:r w:rsidR="00F96E5E" w:rsidRPr="000F134F">
        <w:rPr>
          <w:rFonts w:ascii="Arial" w:hAnsi="Arial" w:cs="Arial"/>
          <w:sz w:val="24"/>
          <w:szCs w:val="24"/>
        </w:rPr>
        <w:t>.</w:t>
      </w:r>
    </w:p>
    <w:p w:rsidR="00D351C5" w:rsidRPr="00FA56B2" w:rsidRDefault="00D351C5" w:rsidP="000B1FBA">
      <w:pPr>
        <w:pStyle w:val="Default"/>
        <w:jc w:val="both"/>
        <w:rPr>
          <w:color w:val="auto"/>
        </w:rPr>
      </w:pPr>
    </w:p>
    <w:p w:rsidR="00FA56B2" w:rsidRDefault="00FA56B2" w:rsidP="00D351C5">
      <w:pPr>
        <w:pStyle w:val="Default"/>
        <w:spacing w:line="360" w:lineRule="auto"/>
        <w:jc w:val="both"/>
      </w:pPr>
    </w:p>
    <w:p w:rsidR="00FA56B2" w:rsidRPr="00FA56B2" w:rsidRDefault="00FA56B2" w:rsidP="00FA56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6B2">
        <w:rPr>
          <w:rFonts w:ascii="Arial" w:hAnsi="Arial" w:cs="Arial"/>
          <w:b/>
          <w:sz w:val="20"/>
          <w:szCs w:val="20"/>
        </w:rPr>
        <w:t>REFERÊNCIAS BIBLIOGRAFICAS</w:t>
      </w:r>
    </w:p>
    <w:p w:rsidR="00FA56B2" w:rsidRPr="00FA56B2" w:rsidRDefault="00FA56B2" w:rsidP="008A4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Hirata H. </w:t>
      </w:r>
      <w:r w:rsidRPr="00FA56B2">
        <w:rPr>
          <w:rFonts w:ascii="Arial" w:hAnsi="Arial" w:cs="Arial"/>
          <w:b/>
          <w:sz w:val="20"/>
          <w:szCs w:val="20"/>
        </w:rPr>
        <w:t>Reestruturação produtiva, trabalho e relações de gênero</w:t>
      </w:r>
      <w:r w:rsidRPr="00FA56B2">
        <w:rPr>
          <w:rFonts w:ascii="Arial" w:hAnsi="Arial" w:cs="Arial"/>
          <w:sz w:val="20"/>
          <w:szCs w:val="20"/>
        </w:rPr>
        <w:t>. Revista Latino americana de Estudos do Trabalho 1998; 4:5-27.</w:t>
      </w:r>
    </w:p>
    <w:p w:rsidR="00FA56B2" w:rsidRPr="00FA56B2" w:rsidRDefault="00FA56B2" w:rsidP="00FA5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56B2" w:rsidRPr="00FA56B2" w:rsidRDefault="00FA56B2" w:rsidP="008A4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A56B2">
        <w:rPr>
          <w:rFonts w:ascii="Arial" w:hAnsi="Arial" w:cs="Arial"/>
          <w:sz w:val="20"/>
          <w:szCs w:val="20"/>
        </w:rPr>
        <w:t>Messing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K, Seifert AM, Gonzáles R. </w:t>
      </w:r>
      <w:proofErr w:type="spellStart"/>
      <w:r w:rsidRPr="00FA56B2">
        <w:rPr>
          <w:rFonts w:ascii="Arial" w:hAnsi="Arial" w:cs="Arial"/>
          <w:sz w:val="20"/>
          <w:szCs w:val="20"/>
        </w:rPr>
        <w:t>Haciendo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56B2">
        <w:rPr>
          <w:rFonts w:ascii="Arial" w:hAnsi="Arial" w:cs="Arial"/>
          <w:sz w:val="20"/>
          <w:szCs w:val="20"/>
        </w:rPr>
        <w:t>visible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56B2">
        <w:rPr>
          <w:rFonts w:ascii="Arial" w:hAnsi="Arial" w:cs="Arial"/>
          <w:sz w:val="20"/>
          <w:szCs w:val="20"/>
        </w:rPr>
        <w:t>lo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56B2">
        <w:rPr>
          <w:rFonts w:ascii="Arial" w:hAnsi="Arial" w:cs="Arial"/>
          <w:sz w:val="20"/>
          <w:szCs w:val="20"/>
        </w:rPr>
        <w:t>invisible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: </w:t>
      </w:r>
      <w:r w:rsidRPr="00FA56B2">
        <w:rPr>
          <w:rFonts w:ascii="Arial" w:hAnsi="Arial" w:cs="Arial"/>
          <w:b/>
          <w:sz w:val="20"/>
          <w:szCs w:val="20"/>
        </w:rPr>
        <w:t xml:space="preserve">Indicadores científicos de processos nocivos que </w:t>
      </w:r>
      <w:proofErr w:type="spellStart"/>
      <w:r w:rsidRPr="00FA56B2">
        <w:rPr>
          <w:rFonts w:ascii="Arial" w:hAnsi="Arial" w:cs="Arial"/>
          <w:b/>
          <w:sz w:val="20"/>
          <w:szCs w:val="20"/>
        </w:rPr>
        <w:t>afectan</w:t>
      </w:r>
      <w:proofErr w:type="spellEnd"/>
      <w:r w:rsidRPr="00FA56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A56B2">
        <w:rPr>
          <w:rFonts w:ascii="Arial" w:hAnsi="Arial" w:cs="Arial"/>
          <w:b/>
          <w:sz w:val="20"/>
          <w:szCs w:val="20"/>
        </w:rPr>
        <w:t>la</w:t>
      </w:r>
      <w:proofErr w:type="spellEnd"/>
      <w:r w:rsidRPr="00FA56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A56B2">
        <w:rPr>
          <w:rFonts w:ascii="Arial" w:hAnsi="Arial" w:cs="Arial"/>
          <w:b/>
          <w:sz w:val="20"/>
          <w:szCs w:val="20"/>
        </w:rPr>
        <w:t>salud</w:t>
      </w:r>
      <w:proofErr w:type="spellEnd"/>
      <w:r w:rsidRPr="00FA56B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FA56B2">
        <w:rPr>
          <w:rFonts w:ascii="Arial" w:hAnsi="Arial" w:cs="Arial"/>
          <w:b/>
          <w:sz w:val="20"/>
          <w:szCs w:val="20"/>
        </w:rPr>
        <w:t>las</w:t>
      </w:r>
      <w:proofErr w:type="spellEnd"/>
      <w:r w:rsidRPr="00FA56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A56B2">
        <w:rPr>
          <w:rFonts w:ascii="Arial" w:hAnsi="Arial" w:cs="Arial"/>
          <w:b/>
          <w:sz w:val="20"/>
          <w:szCs w:val="20"/>
        </w:rPr>
        <w:t>mujeres</w:t>
      </w:r>
      <w:proofErr w:type="spellEnd"/>
      <w:r w:rsidRPr="00FA56B2">
        <w:rPr>
          <w:rFonts w:ascii="Arial" w:hAnsi="Arial" w:cs="Arial"/>
          <w:b/>
          <w:sz w:val="20"/>
          <w:szCs w:val="20"/>
        </w:rPr>
        <w:t xml:space="preserve"> em </w:t>
      </w:r>
      <w:proofErr w:type="spellStart"/>
      <w:r w:rsidRPr="00FA56B2">
        <w:rPr>
          <w:rFonts w:ascii="Arial" w:hAnsi="Arial" w:cs="Arial"/>
          <w:b/>
          <w:sz w:val="20"/>
          <w:szCs w:val="20"/>
        </w:rPr>
        <w:t>el</w:t>
      </w:r>
      <w:proofErr w:type="spellEnd"/>
      <w:r w:rsidRPr="00FA56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A56B2">
        <w:rPr>
          <w:rFonts w:ascii="Arial" w:hAnsi="Arial" w:cs="Arial"/>
          <w:b/>
          <w:sz w:val="20"/>
          <w:szCs w:val="20"/>
        </w:rPr>
        <w:t>trabajo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56B2">
        <w:rPr>
          <w:rFonts w:ascii="Arial" w:hAnsi="Arial" w:cs="Arial"/>
          <w:sz w:val="20"/>
          <w:szCs w:val="20"/>
        </w:rPr>
        <w:t>Cuadernos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56B2">
        <w:rPr>
          <w:rFonts w:ascii="Arial" w:hAnsi="Arial" w:cs="Arial"/>
          <w:sz w:val="20"/>
          <w:szCs w:val="20"/>
        </w:rPr>
        <w:t>Mujer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56B2">
        <w:rPr>
          <w:rFonts w:ascii="Arial" w:hAnsi="Arial" w:cs="Arial"/>
          <w:sz w:val="20"/>
          <w:szCs w:val="20"/>
        </w:rPr>
        <w:t>Salud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1997; 2:15-27.</w:t>
      </w:r>
    </w:p>
    <w:p w:rsidR="00FA56B2" w:rsidRPr="00FA56B2" w:rsidRDefault="00FA56B2" w:rsidP="00FA5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56B2" w:rsidRPr="00FA56B2" w:rsidRDefault="00FA56B2" w:rsidP="008A4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A56B2">
        <w:rPr>
          <w:rFonts w:ascii="Arial" w:hAnsi="Arial" w:cs="Arial"/>
          <w:sz w:val="20"/>
          <w:szCs w:val="20"/>
        </w:rPr>
        <w:lastRenderedPageBreak/>
        <w:t>Ilidio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R. </w:t>
      </w:r>
      <w:r w:rsidRPr="00FA56B2">
        <w:rPr>
          <w:rFonts w:ascii="Arial" w:hAnsi="Arial" w:cs="Arial"/>
          <w:b/>
          <w:sz w:val="20"/>
          <w:szCs w:val="20"/>
        </w:rPr>
        <w:t>LER: trabalho, exclusão, dor, sofrimento e relação de gênero. Um estudo com trabalhadoras atendidas num serviço público de saúde</w:t>
      </w:r>
      <w:r w:rsidRPr="00FA56B2">
        <w:rPr>
          <w:rFonts w:ascii="Arial" w:hAnsi="Arial" w:cs="Arial"/>
          <w:sz w:val="20"/>
          <w:szCs w:val="20"/>
        </w:rPr>
        <w:t xml:space="preserve">. Cad. Saúde Pública, Rio de Janeiro, 22(6):1257-1265, </w:t>
      </w:r>
      <w:proofErr w:type="spellStart"/>
      <w:r w:rsidRPr="00FA56B2">
        <w:rPr>
          <w:rFonts w:ascii="Arial" w:hAnsi="Arial" w:cs="Arial"/>
          <w:sz w:val="20"/>
          <w:szCs w:val="20"/>
        </w:rPr>
        <w:t>jun</w:t>
      </w:r>
      <w:proofErr w:type="spellEnd"/>
      <w:r w:rsidRPr="00FA56B2">
        <w:rPr>
          <w:rFonts w:ascii="Arial" w:hAnsi="Arial" w:cs="Arial"/>
          <w:sz w:val="20"/>
          <w:szCs w:val="20"/>
        </w:rPr>
        <w:t>, 2006.</w:t>
      </w:r>
    </w:p>
    <w:p w:rsidR="00FA56B2" w:rsidRPr="00FA56B2" w:rsidRDefault="00FA56B2" w:rsidP="00FA5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56B2" w:rsidRPr="00FA56B2" w:rsidRDefault="00FA56B2" w:rsidP="008A44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ROCHA, Q.M.W. </w:t>
      </w:r>
      <w:r w:rsidRPr="00FA56B2">
        <w:rPr>
          <w:rFonts w:ascii="Arial" w:hAnsi="Arial" w:cs="Arial"/>
          <w:b/>
          <w:bCs/>
          <w:sz w:val="20"/>
          <w:szCs w:val="20"/>
        </w:rPr>
        <w:t>Diagnostico diferencial das dores de membros</w:t>
      </w:r>
      <w:r w:rsidRPr="00FA56B2">
        <w:rPr>
          <w:rFonts w:ascii="Arial" w:hAnsi="Arial" w:cs="Arial"/>
          <w:sz w:val="20"/>
          <w:szCs w:val="20"/>
        </w:rPr>
        <w:t>. 2003 maio; disponível em: http/www.lava.me.com.br</w:t>
      </w:r>
    </w:p>
    <w:p w:rsidR="00FA56B2" w:rsidRPr="00FA56B2" w:rsidRDefault="00FA56B2" w:rsidP="00FA5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COSTA R. C.; </w:t>
      </w:r>
      <w:r w:rsidRPr="00FA56B2">
        <w:rPr>
          <w:rFonts w:ascii="Arial" w:hAnsi="Arial" w:cs="Arial"/>
          <w:b/>
          <w:bCs/>
          <w:sz w:val="20"/>
          <w:szCs w:val="20"/>
        </w:rPr>
        <w:t xml:space="preserve">Dor Cervical, ataxia e tetraparesia. </w:t>
      </w:r>
      <w:r w:rsidRPr="00FA56B2">
        <w:rPr>
          <w:rFonts w:ascii="Arial" w:hAnsi="Arial" w:cs="Arial"/>
          <w:sz w:val="20"/>
          <w:szCs w:val="20"/>
        </w:rPr>
        <w:t>2000.</w:t>
      </w:r>
    </w:p>
    <w:p w:rsidR="00FA56B2" w:rsidRPr="00FA56B2" w:rsidRDefault="00FA56B2" w:rsidP="008A44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DOMÍNGUEZ, A.G.D.; ALVES, D; GOMES, E.P.; EWERTON, F.M. </w:t>
      </w:r>
      <w:r w:rsidRPr="00FA56B2">
        <w:rPr>
          <w:rFonts w:ascii="Arial" w:hAnsi="Arial" w:cs="Arial"/>
          <w:b/>
          <w:bCs/>
          <w:sz w:val="20"/>
          <w:szCs w:val="20"/>
        </w:rPr>
        <w:t>Prevalência de lombalgia em acadêmicos e funcionários do centro universitário UNIEURO</w:t>
      </w:r>
      <w:r w:rsidRPr="00FA56B2">
        <w:rPr>
          <w:rFonts w:ascii="Arial" w:hAnsi="Arial" w:cs="Arial"/>
          <w:sz w:val="20"/>
          <w:szCs w:val="20"/>
        </w:rPr>
        <w:t>.2008</w:t>
      </w:r>
    </w:p>
    <w:p w:rsidR="00FA56B2" w:rsidRPr="00FA56B2" w:rsidRDefault="00FA56B2" w:rsidP="008A44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FERREIRA G.; SILVA M.; ROMBALDI A.; WREGE E.; SIQUEIRA F.; HALLAL P. </w:t>
      </w:r>
      <w:r w:rsidRPr="00FA56B2">
        <w:rPr>
          <w:rFonts w:ascii="Arial" w:hAnsi="Arial" w:cs="Arial"/>
          <w:b/>
          <w:bCs/>
          <w:sz w:val="20"/>
          <w:szCs w:val="20"/>
        </w:rPr>
        <w:t>Prevalência de dor nas costas e fatores associados em adultos do Sul do Brasil: estudo de base populacional</w:t>
      </w:r>
      <w:r w:rsidRPr="00FA56B2">
        <w:rPr>
          <w:rFonts w:ascii="Arial" w:hAnsi="Arial" w:cs="Arial"/>
          <w:sz w:val="20"/>
          <w:szCs w:val="20"/>
        </w:rPr>
        <w:t xml:space="preserve">. Jan/ </w:t>
      </w:r>
      <w:proofErr w:type="spellStart"/>
      <w:r w:rsidRPr="00FA56B2">
        <w:rPr>
          <w:rFonts w:ascii="Arial" w:hAnsi="Arial" w:cs="Arial"/>
          <w:sz w:val="20"/>
          <w:szCs w:val="20"/>
        </w:rPr>
        <w:t>Fev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2011.</w:t>
      </w:r>
    </w:p>
    <w:p w:rsidR="00FA56B2" w:rsidRPr="00FA56B2" w:rsidRDefault="00FA56B2" w:rsidP="00FA5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KELLY V.; SILVA K.; PAMPLONA M. </w:t>
      </w:r>
      <w:r w:rsidRPr="00FA56B2">
        <w:rPr>
          <w:rFonts w:ascii="Arial" w:hAnsi="Arial" w:cs="Arial"/>
          <w:b/>
          <w:bCs/>
          <w:sz w:val="20"/>
          <w:szCs w:val="20"/>
        </w:rPr>
        <w:t xml:space="preserve">Dor relacionada ao trabalho. </w:t>
      </w:r>
      <w:r w:rsidRPr="00FA56B2">
        <w:rPr>
          <w:rFonts w:ascii="Arial" w:hAnsi="Arial" w:cs="Arial"/>
          <w:sz w:val="20"/>
          <w:szCs w:val="20"/>
        </w:rPr>
        <w:t>2012.</w:t>
      </w:r>
    </w:p>
    <w:p w:rsidR="00FA56B2" w:rsidRPr="00FA56B2" w:rsidRDefault="00FA56B2" w:rsidP="00FA5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MAENO M. </w:t>
      </w:r>
      <w:r w:rsidRPr="00FA56B2">
        <w:rPr>
          <w:rFonts w:ascii="Arial" w:hAnsi="Arial" w:cs="Arial"/>
          <w:b/>
          <w:bCs/>
          <w:sz w:val="20"/>
          <w:szCs w:val="20"/>
        </w:rPr>
        <w:t>Lesões por esforços repetitivos</w:t>
      </w:r>
      <w:r w:rsidRPr="00FA56B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56B2">
        <w:rPr>
          <w:rFonts w:ascii="Arial" w:hAnsi="Arial" w:cs="Arial"/>
          <w:sz w:val="20"/>
          <w:szCs w:val="20"/>
        </w:rPr>
        <w:t>Fev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2011.</w:t>
      </w:r>
    </w:p>
    <w:p w:rsidR="00FA56B2" w:rsidRPr="00FA56B2" w:rsidRDefault="00FA56B2" w:rsidP="008A44B9">
      <w:pPr>
        <w:pStyle w:val="Default"/>
        <w:jc w:val="both"/>
        <w:rPr>
          <w:sz w:val="20"/>
          <w:szCs w:val="20"/>
        </w:rPr>
      </w:pPr>
      <w:r w:rsidRPr="00FA56B2">
        <w:rPr>
          <w:sz w:val="20"/>
          <w:szCs w:val="20"/>
        </w:rPr>
        <w:t xml:space="preserve">MOTA P. L.; SOUZA P. S.; REIS A.; SILVA C. R. </w:t>
      </w:r>
      <w:r w:rsidRPr="00FA56B2">
        <w:rPr>
          <w:b/>
          <w:bCs/>
          <w:sz w:val="20"/>
          <w:szCs w:val="20"/>
        </w:rPr>
        <w:t>Frequência de dor no ombro em adultos no distrito federal</w:t>
      </w:r>
      <w:r w:rsidRPr="00FA56B2">
        <w:rPr>
          <w:sz w:val="20"/>
          <w:szCs w:val="20"/>
        </w:rPr>
        <w:t xml:space="preserve">. 2004. </w:t>
      </w:r>
    </w:p>
    <w:p w:rsidR="00FA56B2" w:rsidRPr="00FA56B2" w:rsidRDefault="00FA56B2" w:rsidP="00FA56B2">
      <w:pPr>
        <w:pStyle w:val="Default"/>
        <w:spacing w:line="360" w:lineRule="auto"/>
        <w:jc w:val="both"/>
        <w:rPr>
          <w:sz w:val="20"/>
          <w:szCs w:val="20"/>
        </w:rPr>
      </w:pPr>
    </w:p>
    <w:p w:rsidR="00FA56B2" w:rsidRPr="00FA56B2" w:rsidRDefault="00FA56B2" w:rsidP="008A44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MUROFUSE, N.T.; MARZIALE, M.H.P. </w:t>
      </w:r>
      <w:r w:rsidRPr="00FA56B2">
        <w:rPr>
          <w:rFonts w:ascii="Arial" w:hAnsi="Arial" w:cs="Arial"/>
          <w:b/>
          <w:bCs/>
          <w:sz w:val="20"/>
          <w:szCs w:val="20"/>
        </w:rPr>
        <w:t>Doenças do sistema osteomuscular em trabalhadores de enfermagem</w:t>
      </w:r>
      <w:r w:rsidRPr="00FA56B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56B2">
        <w:rPr>
          <w:rFonts w:ascii="Arial" w:hAnsi="Arial" w:cs="Arial"/>
          <w:sz w:val="20"/>
          <w:szCs w:val="20"/>
        </w:rPr>
        <w:t>RevLatinoam</w:t>
      </w:r>
      <w:proofErr w:type="spellEnd"/>
      <w:r w:rsidRPr="00FA56B2">
        <w:rPr>
          <w:rFonts w:ascii="Arial" w:hAnsi="Arial" w:cs="Arial"/>
          <w:sz w:val="20"/>
          <w:szCs w:val="20"/>
        </w:rPr>
        <w:t xml:space="preserve"> Enfermagem 2005 maio-junho; 13(3):364-73; disponível em: </w:t>
      </w:r>
      <w:proofErr w:type="spellStart"/>
      <w:r w:rsidRPr="00FA56B2">
        <w:rPr>
          <w:rFonts w:ascii="Arial" w:hAnsi="Arial" w:cs="Arial"/>
          <w:sz w:val="20"/>
          <w:szCs w:val="20"/>
        </w:rPr>
        <w:t>http</w:t>
      </w:r>
      <w:proofErr w:type="spellEnd"/>
      <w:r w:rsidRPr="00FA56B2">
        <w:rPr>
          <w:rFonts w:ascii="Arial" w:hAnsi="Arial" w:cs="Arial"/>
          <w:sz w:val="20"/>
          <w:szCs w:val="20"/>
        </w:rPr>
        <w:t>/www.scielo.brpdfrlaev.com, acessado dia 02/11/2012.</w:t>
      </w:r>
    </w:p>
    <w:p w:rsidR="00FA56B2" w:rsidRPr="00FA56B2" w:rsidRDefault="00FA56B2" w:rsidP="008A44B9">
      <w:pPr>
        <w:pStyle w:val="Default"/>
        <w:jc w:val="both"/>
        <w:rPr>
          <w:sz w:val="20"/>
          <w:szCs w:val="20"/>
        </w:rPr>
      </w:pPr>
      <w:r w:rsidRPr="00FA56B2">
        <w:rPr>
          <w:sz w:val="20"/>
          <w:szCs w:val="20"/>
        </w:rPr>
        <w:t xml:space="preserve">Sociedade Brasileira para o Estudo da Dor – SBED. </w:t>
      </w:r>
      <w:r w:rsidRPr="00FA56B2">
        <w:rPr>
          <w:b/>
          <w:bCs/>
          <w:sz w:val="20"/>
          <w:szCs w:val="20"/>
        </w:rPr>
        <w:t>Ano Mundial Contra Dor Musculoesquelética</w:t>
      </w:r>
      <w:r w:rsidRPr="00FA56B2">
        <w:rPr>
          <w:sz w:val="20"/>
          <w:szCs w:val="20"/>
        </w:rPr>
        <w:t xml:space="preserve">. Outubro 2009 – outubro 2010; </w:t>
      </w:r>
    </w:p>
    <w:p w:rsidR="00FA56B2" w:rsidRPr="00FA56B2" w:rsidRDefault="00FA56B2" w:rsidP="00FA56B2">
      <w:pPr>
        <w:pStyle w:val="Default"/>
        <w:spacing w:line="360" w:lineRule="auto"/>
        <w:jc w:val="both"/>
        <w:rPr>
          <w:sz w:val="20"/>
          <w:szCs w:val="20"/>
        </w:rPr>
      </w:pPr>
    </w:p>
    <w:p w:rsidR="00FA56B2" w:rsidRPr="00FA56B2" w:rsidRDefault="00FA56B2" w:rsidP="00FA56B2">
      <w:pPr>
        <w:pStyle w:val="Default"/>
        <w:spacing w:line="360" w:lineRule="auto"/>
        <w:jc w:val="both"/>
        <w:rPr>
          <w:sz w:val="20"/>
          <w:szCs w:val="20"/>
        </w:rPr>
      </w:pPr>
      <w:r w:rsidRPr="00FA56B2">
        <w:rPr>
          <w:sz w:val="20"/>
          <w:szCs w:val="20"/>
        </w:rPr>
        <w:t xml:space="preserve">SOARES J. </w:t>
      </w:r>
      <w:r w:rsidRPr="00FA56B2">
        <w:rPr>
          <w:b/>
          <w:bCs/>
          <w:sz w:val="20"/>
          <w:szCs w:val="20"/>
        </w:rPr>
        <w:t>Lombalgia</w:t>
      </w:r>
      <w:r w:rsidRPr="00FA56B2">
        <w:rPr>
          <w:sz w:val="20"/>
          <w:szCs w:val="20"/>
        </w:rPr>
        <w:t xml:space="preserve">. 1999. </w:t>
      </w:r>
    </w:p>
    <w:p w:rsidR="00FA56B2" w:rsidRPr="00FA56B2" w:rsidRDefault="00FA56B2" w:rsidP="00FA56B2">
      <w:pPr>
        <w:pStyle w:val="Default"/>
        <w:spacing w:line="360" w:lineRule="auto"/>
        <w:jc w:val="both"/>
        <w:rPr>
          <w:sz w:val="20"/>
          <w:szCs w:val="20"/>
        </w:rPr>
      </w:pPr>
      <w:r w:rsidRPr="00FA56B2">
        <w:rPr>
          <w:sz w:val="20"/>
          <w:szCs w:val="20"/>
        </w:rPr>
        <w:t xml:space="preserve">STRUIJS P. A.; KERKHOFFS G. M. </w:t>
      </w:r>
      <w:proofErr w:type="spellStart"/>
      <w:r w:rsidRPr="00FA56B2">
        <w:rPr>
          <w:b/>
          <w:bCs/>
          <w:sz w:val="20"/>
          <w:szCs w:val="20"/>
        </w:rPr>
        <w:t>Epicondilite</w:t>
      </w:r>
      <w:proofErr w:type="spellEnd"/>
      <w:r w:rsidRPr="00FA56B2">
        <w:rPr>
          <w:b/>
          <w:bCs/>
          <w:sz w:val="20"/>
          <w:szCs w:val="20"/>
        </w:rPr>
        <w:t xml:space="preserve"> Lateral do Cotovelo</w:t>
      </w:r>
      <w:r w:rsidRPr="00FA56B2">
        <w:rPr>
          <w:sz w:val="20"/>
          <w:szCs w:val="20"/>
        </w:rPr>
        <w:t xml:space="preserve">. 18 de outubro de 2007. </w:t>
      </w:r>
    </w:p>
    <w:p w:rsidR="00FA56B2" w:rsidRPr="00FA56B2" w:rsidRDefault="00FA56B2" w:rsidP="008A44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TEIXEIRA, M.J.; YENG, L.T.; FERNANDES, T.D., HERNANDEZ, A.J., ROMANO, M.A., FORNI, J.E.N., AMATUZZI, M. </w:t>
      </w:r>
      <w:r w:rsidRPr="00FA56B2">
        <w:rPr>
          <w:rFonts w:ascii="Arial" w:hAnsi="Arial" w:cs="Arial"/>
          <w:b/>
          <w:bCs/>
          <w:sz w:val="20"/>
          <w:szCs w:val="20"/>
        </w:rPr>
        <w:t>Dor nos membros inferiores</w:t>
      </w:r>
      <w:r w:rsidRPr="00FA56B2">
        <w:rPr>
          <w:rFonts w:ascii="Arial" w:hAnsi="Arial" w:cs="Arial"/>
          <w:sz w:val="20"/>
          <w:szCs w:val="20"/>
        </w:rPr>
        <w:t xml:space="preserve">. </w:t>
      </w:r>
      <w:r w:rsidRPr="00FA56B2">
        <w:rPr>
          <w:rFonts w:ascii="Arial" w:hAnsi="Arial" w:cs="Arial"/>
          <w:i/>
          <w:iCs/>
          <w:sz w:val="20"/>
          <w:szCs w:val="20"/>
        </w:rPr>
        <w:t xml:space="preserve">Rev. Med. </w:t>
      </w:r>
      <w:r w:rsidRPr="00FA56B2">
        <w:rPr>
          <w:rFonts w:ascii="Arial" w:hAnsi="Arial" w:cs="Arial"/>
          <w:sz w:val="20"/>
          <w:szCs w:val="20"/>
        </w:rPr>
        <w:t xml:space="preserve">(São Paulo), 80(ed. esp. pt.2):391-414, </w:t>
      </w:r>
      <w:proofErr w:type="gramStart"/>
      <w:r w:rsidRPr="00FA56B2">
        <w:rPr>
          <w:rFonts w:ascii="Arial" w:hAnsi="Arial" w:cs="Arial"/>
          <w:sz w:val="20"/>
          <w:szCs w:val="20"/>
        </w:rPr>
        <w:t>2001;disponível</w:t>
      </w:r>
      <w:proofErr w:type="gramEnd"/>
      <w:r w:rsidRPr="00FA56B2">
        <w:rPr>
          <w:rFonts w:ascii="Arial" w:hAnsi="Arial" w:cs="Arial"/>
          <w:sz w:val="20"/>
          <w:szCs w:val="20"/>
        </w:rPr>
        <w:t xml:space="preserve"> em: http:/www.luzimar.teixeira.com.br, acessado dia 05/11/2012.</w:t>
      </w:r>
    </w:p>
    <w:p w:rsidR="00FA56B2" w:rsidRPr="00FA56B2" w:rsidRDefault="00FA56B2" w:rsidP="008A44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56B2">
        <w:rPr>
          <w:rFonts w:ascii="Arial" w:hAnsi="Arial" w:cs="Arial"/>
          <w:sz w:val="20"/>
          <w:szCs w:val="20"/>
        </w:rPr>
        <w:t xml:space="preserve">WANDERLEY Q. M. </w:t>
      </w:r>
      <w:r w:rsidRPr="00FA56B2">
        <w:rPr>
          <w:rFonts w:ascii="Arial" w:hAnsi="Arial" w:cs="Arial"/>
          <w:b/>
          <w:bCs/>
          <w:sz w:val="20"/>
          <w:szCs w:val="20"/>
        </w:rPr>
        <w:t>Diagnóstico Diferencial das dores de membros</w:t>
      </w:r>
      <w:r w:rsidRPr="00FA56B2">
        <w:rPr>
          <w:rFonts w:ascii="Arial" w:hAnsi="Arial" w:cs="Arial"/>
          <w:sz w:val="20"/>
          <w:szCs w:val="20"/>
        </w:rPr>
        <w:t>. 16/05/2003</w:t>
      </w:r>
    </w:p>
    <w:p w:rsidR="00FA56B2" w:rsidRPr="00D3072B" w:rsidRDefault="00FA56B2" w:rsidP="00D351C5">
      <w:pPr>
        <w:pStyle w:val="Default"/>
        <w:spacing w:line="360" w:lineRule="auto"/>
        <w:jc w:val="both"/>
      </w:pPr>
    </w:p>
    <w:p w:rsidR="006F63D4" w:rsidRPr="00FA56B2" w:rsidRDefault="00FA56B2" w:rsidP="006F6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A56B2">
        <w:rPr>
          <w:rFonts w:ascii="Arial" w:hAnsi="Arial" w:cs="Arial"/>
          <w:b/>
          <w:bCs/>
          <w:color w:val="000000"/>
          <w:sz w:val="20"/>
          <w:szCs w:val="20"/>
        </w:rPr>
        <w:t>GRÁFICOS</w:t>
      </w:r>
    </w:p>
    <w:p w:rsidR="00CB40C7" w:rsidRPr="006F63D4" w:rsidRDefault="00CB40C7" w:rsidP="006F6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351C5" w:rsidRPr="00FA56B2" w:rsidRDefault="006F63D4" w:rsidP="00CB40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6B2">
        <w:rPr>
          <w:rFonts w:ascii="Arial" w:hAnsi="Arial" w:cs="Arial"/>
          <w:color w:val="000000"/>
          <w:sz w:val="20"/>
          <w:szCs w:val="20"/>
        </w:rPr>
        <w:t>Com base nos resultados encontrados, qua</w:t>
      </w:r>
      <w:r w:rsidR="00CB40C7" w:rsidRPr="00FA56B2">
        <w:rPr>
          <w:rFonts w:ascii="Arial" w:hAnsi="Arial" w:cs="Arial"/>
          <w:color w:val="000000"/>
          <w:sz w:val="20"/>
          <w:szCs w:val="20"/>
        </w:rPr>
        <w:t xml:space="preserve">nto a dores na região lombar, pode-se observar que </w:t>
      </w:r>
      <w:r w:rsidR="00791AB7" w:rsidRPr="00FA56B2">
        <w:rPr>
          <w:rFonts w:ascii="Arial" w:hAnsi="Arial" w:cs="Arial"/>
          <w:color w:val="000000"/>
          <w:sz w:val="20"/>
          <w:szCs w:val="20"/>
        </w:rPr>
        <w:t xml:space="preserve">9,9% </w:t>
      </w:r>
      <w:r w:rsidRPr="00FA56B2">
        <w:rPr>
          <w:rFonts w:ascii="Arial" w:hAnsi="Arial" w:cs="Arial"/>
          <w:color w:val="000000"/>
          <w:sz w:val="20"/>
          <w:szCs w:val="20"/>
        </w:rPr>
        <w:t>não apresen</w:t>
      </w:r>
      <w:r w:rsidR="00791AB7" w:rsidRPr="00FA56B2">
        <w:rPr>
          <w:rFonts w:ascii="Arial" w:hAnsi="Arial" w:cs="Arial"/>
          <w:color w:val="000000"/>
          <w:sz w:val="20"/>
          <w:szCs w:val="20"/>
        </w:rPr>
        <w:t>tam dores na referida região, 28</w:t>
      </w:r>
      <w:r w:rsidRPr="00FA56B2">
        <w:rPr>
          <w:rFonts w:ascii="Arial" w:hAnsi="Arial" w:cs="Arial"/>
          <w:color w:val="000000"/>
          <w:sz w:val="20"/>
          <w:szCs w:val="20"/>
        </w:rPr>
        <w:t xml:space="preserve">% raramente </w:t>
      </w:r>
      <w:r w:rsidR="00791AB7" w:rsidRPr="00FA56B2">
        <w:rPr>
          <w:rFonts w:ascii="Arial" w:hAnsi="Arial" w:cs="Arial"/>
          <w:color w:val="000000"/>
          <w:sz w:val="20"/>
          <w:szCs w:val="20"/>
        </w:rPr>
        <w:t>apresentam sensações dolorosas e 63,63</w:t>
      </w:r>
      <w:r w:rsidRPr="00FA56B2">
        <w:rPr>
          <w:rFonts w:ascii="Arial" w:hAnsi="Arial" w:cs="Arial"/>
          <w:color w:val="000000"/>
          <w:sz w:val="20"/>
          <w:szCs w:val="20"/>
        </w:rPr>
        <w:t>% afirmaram apresentar dores constantes, conforme exposto na figura 1.</w:t>
      </w:r>
    </w:p>
    <w:p w:rsidR="006F63D4" w:rsidRDefault="006F63D4" w:rsidP="00D351C5">
      <w:pPr>
        <w:jc w:val="center"/>
        <w:rPr>
          <w:rFonts w:ascii="Arial" w:hAnsi="Arial" w:cs="Arial"/>
          <w:b/>
          <w:sz w:val="24"/>
          <w:szCs w:val="24"/>
        </w:rPr>
      </w:pPr>
    </w:p>
    <w:p w:rsidR="006F63D4" w:rsidRDefault="006F63D4" w:rsidP="00D351C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452DB3DB" wp14:editId="52E7DEBA">
            <wp:extent cx="4886325" cy="321945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6F63D4" w:rsidRDefault="006F63D4" w:rsidP="006F63D4">
      <w:pPr>
        <w:rPr>
          <w:rFonts w:ascii="Arial" w:hAnsi="Arial" w:cs="Arial"/>
          <w:b/>
          <w:sz w:val="24"/>
          <w:szCs w:val="24"/>
        </w:rPr>
      </w:pPr>
      <w:r>
        <w:rPr>
          <w:b/>
          <w:bCs/>
          <w:sz w:val="20"/>
          <w:szCs w:val="20"/>
        </w:rPr>
        <w:t xml:space="preserve">Figura 1 </w:t>
      </w:r>
      <w:r>
        <w:rPr>
          <w:sz w:val="20"/>
          <w:szCs w:val="20"/>
        </w:rPr>
        <w:t>– Frequência de dores.</w:t>
      </w:r>
    </w:p>
    <w:p w:rsidR="006F63D4" w:rsidRDefault="006F63D4" w:rsidP="00D351C5">
      <w:pPr>
        <w:jc w:val="center"/>
        <w:rPr>
          <w:rFonts w:ascii="Arial" w:hAnsi="Arial" w:cs="Arial"/>
          <w:b/>
          <w:sz w:val="24"/>
          <w:szCs w:val="24"/>
        </w:rPr>
      </w:pPr>
    </w:p>
    <w:p w:rsidR="006F63D4" w:rsidRDefault="006F63D4" w:rsidP="00D351C5">
      <w:pPr>
        <w:jc w:val="center"/>
        <w:rPr>
          <w:rFonts w:ascii="Arial" w:hAnsi="Arial" w:cs="Arial"/>
          <w:b/>
          <w:sz w:val="24"/>
          <w:szCs w:val="24"/>
        </w:rPr>
      </w:pPr>
    </w:p>
    <w:p w:rsidR="006F63D4" w:rsidRDefault="006F63D4" w:rsidP="00D351C5">
      <w:pPr>
        <w:jc w:val="center"/>
        <w:rPr>
          <w:rFonts w:ascii="Arial" w:hAnsi="Arial" w:cs="Arial"/>
          <w:b/>
          <w:sz w:val="24"/>
          <w:szCs w:val="24"/>
        </w:rPr>
      </w:pPr>
    </w:p>
    <w:p w:rsidR="006F63D4" w:rsidRDefault="006F63D4" w:rsidP="00D351C5">
      <w:pPr>
        <w:jc w:val="center"/>
        <w:rPr>
          <w:rFonts w:ascii="Arial" w:hAnsi="Arial" w:cs="Arial"/>
          <w:b/>
          <w:sz w:val="24"/>
          <w:szCs w:val="24"/>
        </w:rPr>
      </w:pPr>
    </w:p>
    <w:p w:rsidR="006F63D4" w:rsidRDefault="006F63D4" w:rsidP="00D351C5">
      <w:pPr>
        <w:jc w:val="center"/>
        <w:rPr>
          <w:rFonts w:ascii="Arial" w:hAnsi="Arial" w:cs="Arial"/>
          <w:b/>
          <w:sz w:val="24"/>
          <w:szCs w:val="24"/>
        </w:rPr>
      </w:pPr>
    </w:p>
    <w:p w:rsidR="00FA56B2" w:rsidRDefault="00FA56B2" w:rsidP="00D351C5">
      <w:pPr>
        <w:jc w:val="center"/>
        <w:rPr>
          <w:rFonts w:ascii="Arial" w:hAnsi="Arial" w:cs="Arial"/>
          <w:b/>
          <w:sz w:val="24"/>
          <w:szCs w:val="24"/>
        </w:rPr>
      </w:pPr>
    </w:p>
    <w:p w:rsidR="00FA56B2" w:rsidRDefault="00FA56B2" w:rsidP="00D351C5">
      <w:pPr>
        <w:jc w:val="center"/>
        <w:rPr>
          <w:rFonts w:ascii="Arial" w:hAnsi="Arial" w:cs="Arial"/>
          <w:b/>
          <w:sz w:val="24"/>
          <w:szCs w:val="24"/>
        </w:rPr>
      </w:pPr>
    </w:p>
    <w:p w:rsidR="00FA56B2" w:rsidRDefault="00FA56B2" w:rsidP="00D351C5">
      <w:pPr>
        <w:jc w:val="center"/>
        <w:rPr>
          <w:rFonts w:ascii="Arial" w:hAnsi="Arial" w:cs="Arial"/>
          <w:b/>
          <w:sz w:val="24"/>
          <w:szCs w:val="24"/>
        </w:rPr>
      </w:pPr>
    </w:p>
    <w:p w:rsidR="00CB40C7" w:rsidRPr="004D59A1" w:rsidRDefault="00CB40C7" w:rsidP="00FA56B2">
      <w:pPr>
        <w:rPr>
          <w:rFonts w:ascii="Arial" w:hAnsi="Arial" w:cs="Arial"/>
          <w:b/>
          <w:sz w:val="24"/>
          <w:szCs w:val="24"/>
        </w:rPr>
      </w:pPr>
    </w:p>
    <w:sectPr w:rsidR="00CB40C7" w:rsidRPr="004D5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1"/>
    <w:rsid w:val="000B1FBA"/>
    <w:rsid w:val="000F134F"/>
    <w:rsid w:val="00121104"/>
    <w:rsid w:val="003C788B"/>
    <w:rsid w:val="004D59A1"/>
    <w:rsid w:val="006F63D4"/>
    <w:rsid w:val="00726B3E"/>
    <w:rsid w:val="00791AB7"/>
    <w:rsid w:val="008A44B9"/>
    <w:rsid w:val="00B27F15"/>
    <w:rsid w:val="00B42A8B"/>
    <w:rsid w:val="00CB40C7"/>
    <w:rsid w:val="00CE70C7"/>
    <w:rsid w:val="00D3072B"/>
    <w:rsid w:val="00D351C5"/>
    <w:rsid w:val="00E33D2D"/>
    <w:rsid w:val="00F96E5E"/>
    <w:rsid w:val="00F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52018-FBD1-40CF-AF0E-28F63E1D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C788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u&#225;rio\Desktop\Backup\trabalhos%20Faculdade\6&#186;%20semestre\rec%20terapeuicos%204\trab%20ionara%202%20atividades%20integradoras\trab%20ionar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Frequência</a:t>
            </a:r>
            <a:r>
              <a:rPr lang="pt-BR" baseline="0"/>
              <a:t> de dores</a:t>
            </a:r>
            <a:endParaRPr lang="pt-BR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5762092654379863E-2"/>
          <c:y val="0.14453304583870782"/>
          <c:w val="0.7319400553869283"/>
          <c:h val="0.5663954729293613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Plan1!$A$1:$A$9</c:f>
              <c:strCache>
                <c:ptCount val="9"/>
                <c:pt idx="0">
                  <c:v>Região Cervical</c:v>
                </c:pt>
                <c:pt idx="1">
                  <c:v>Ombros</c:v>
                </c:pt>
                <c:pt idx="2">
                  <c:v>Braços</c:v>
                </c:pt>
                <c:pt idx="3">
                  <c:v>Cotovelos</c:v>
                </c:pt>
                <c:pt idx="4">
                  <c:v>Antebraços</c:v>
                </c:pt>
                <c:pt idx="5">
                  <c:v>Punhos/mãos/dedos</c:v>
                </c:pt>
                <c:pt idx="6">
                  <c:v>Região Dorsal</c:v>
                </c:pt>
                <c:pt idx="7">
                  <c:v>Região Lombar</c:v>
                </c:pt>
                <c:pt idx="8">
                  <c:v>Quadris/membros inferiores</c:v>
                </c:pt>
              </c:strCache>
            </c:strRef>
          </c:cat>
          <c:val>
            <c:numRef>
              <c:f>Plan1!$B$1:$B$9</c:f>
              <c:numCache>
                <c:formatCode>#.000%</c:formatCode>
                <c:ptCount val="9"/>
                <c:pt idx="0">
                  <c:v>0.18179999999999999</c:v>
                </c:pt>
                <c:pt idx="1">
                  <c:v>0.36359999999999998</c:v>
                </c:pt>
                <c:pt idx="2">
                  <c:v>0.63629999999999998</c:v>
                </c:pt>
                <c:pt idx="3">
                  <c:v>0.72719999999999996</c:v>
                </c:pt>
                <c:pt idx="4">
                  <c:v>0.5454</c:v>
                </c:pt>
                <c:pt idx="5">
                  <c:v>0.5454</c:v>
                </c:pt>
                <c:pt idx="6">
                  <c:v>0.81810000000000005</c:v>
                </c:pt>
                <c:pt idx="7">
                  <c:v>9.0899999999999995E-2</c:v>
                </c:pt>
                <c:pt idx="8">
                  <c:v>0.45450000000000002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Plan1!$A$1:$A$9</c:f>
              <c:strCache>
                <c:ptCount val="9"/>
                <c:pt idx="0">
                  <c:v>Região Cervical</c:v>
                </c:pt>
                <c:pt idx="1">
                  <c:v>Ombros</c:v>
                </c:pt>
                <c:pt idx="2">
                  <c:v>Braços</c:v>
                </c:pt>
                <c:pt idx="3">
                  <c:v>Cotovelos</c:v>
                </c:pt>
                <c:pt idx="4">
                  <c:v>Antebraços</c:v>
                </c:pt>
                <c:pt idx="5">
                  <c:v>Punhos/mãos/dedos</c:v>
                </c:pt>
                <c:pt idx="6">
                  <c:v>Região Dorsal</c:v>
                </c:pt>
                <c:pt idx="7">
                  <c:v>Região Lombar</c:v>
                </c:pt>
                <c:pt idx="8">
                  <c:v>Quadris/membros inferiores</c:v>
                </c:pt>
              </c:strCache>
            </c:strRef>
          </c:cat>
          <c:val>
            <c:numRef>
              <c:f>Plan1!$C$1:$C$9</c:f>
              <c:numCache>
                <c:formatCode>#.000%</c:formatCode>
                <c:ptCount val="9"/>
                <c:pt idx="0">
                  <c:v>0.36359999999999998</c:v>
                </c:pt>
                <c:pt idx="1">
                  <c:v>0.2727</c:v>
                </c:pt>
                <c:pt idx="2">
                  <c:v>0.18179999999999999</c:v>
                </c:pt>
                <c:pt idx="3">
                  <c:v>9.0899999999999995E-2</c:v>
                </c:pt>
                <c:pt idx="4">
                  <c:v>0.36359999999999998</c:v>
                </c:pt>
                <c:pt idx="5">
                  <c:v>0.2727</c:v>
                </c:pt>
                <c:pt idx="6">
                  <c:v>0.18179999999999999</c:v>
                </c:pt>
                <c:pt idx="7">
                  <c:v>0.2727</c:v>
                </c:pt>
                <c:pt idx="8">
                  <c:v>0.36359999999999998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Plan1!$A$1:$A$9</c:f>
              <c:strCache>
                <c:ptCount val="9"/>
                <c:pt idx="0">
                  <c:v>Região Cervical</c:v>
                </c:pt>
                <c:pt idx="1">
                  <c:v>Ombros</c:v>
                </c:pt>
                <c:pt idx="2">
                  <c:v>Braços</c:v>
                </c:pt>
                <c:pt idx="3">
                  <c:v>Cotovelos</c:v>
                </c:pt>
                <c:pt idx="4">
                  <c:v>Antebraços</c:v>
                </c:pt>
                <c:pt idx="5">
                  <c:v>Punhos/mãos/dedos</c:v>
                </c:pt>
                <c:pt idx="6">
                  <c:v>Região Dorsal</c:v>
                </c:pt>
                <c:pt idx="7">
                  <c:v>Região Lombar</c:v>
                </c:pt>
                <c:pt idx="8">
                  <c:v>Quadris/membros inferiores</c:v>
                </c:pt>
              </c:strCache>
            </c:strRef>
          </c:cat>
          <c:val>
            <c:numRef>
              <c:f>Plan1!$D$1:$D$9</c:f>
              <c:numCache>
                <c:formatCode>#.000%</c:formatCode>
                <c:ptCount val="9"/>
                <c:pt idx="0">
                  <c:v>0.36359999999999998</c:v>
                </c:pt>
                <c:pt idx="1">
                  <c:v>0.36359999999999998</c:v>
                </c:pt>
                <c:pt idx="2">
                  <c:v>0.18179999999999999</c:v>
                </c:pt>
                <c:pt idx="3" formatCode="0%">
                  <c:v>0</c:v>
                </c:pt>
                <c:pt idx="4">
                  <c:v>9.0899999999999995E-2</c:v>
                </c:pt>
                <c:pt idx="5">
                  <c:v>0.18179999999999999</c:v>
                </c:pt>
                <c:pt idx="6" formatCode="0%">
                  <c:v>0</c:v>
                </c:pt>
                <c:pt idx="7">
                  <c:v>0.63629999999999998</c:v>
                </c:pt>
                <c:pt idx="8">
                  <c:v>0.18179999999999999</c:v>
                </c:pt>
              </c:numCache>
            </c:numRef>
          </c:val>
        </c:ser>
        <c:ser>
          <c:idx val="3"/>
          <c:order val="3"/>
          <c:invertIfNegative val="0"/>
          <c:cat>
            <c:strRef>
              <c:f>Plan1!$A$1:$A$9</c:f>
              <c:strCache>
                <c:ptCount val="9"/>
                <c:pt idx="0">
                  <c:v>Região Cervical</c:v>
                </c:pt>
                <c:pt idx="1">
                  <c:v>Ombros</c:v>
                </c:pt>
                <c:pt idx="2">
                  <c:v>Braços</c:v>
                </c:pt>
                <c:pt idx="3">
                  <c:v>Cotovelos</c:v>
                </c:pt>
                <c:pt idx="4">
                  <c:v>Antebraços</c:v>
                </c:pt>
                <c:pt idx="5">
                  <c:v>Punhos/mãos/dedos</c:v>
                </c:pt>
                <c:pt idx="6">
                  <c:v>Região Dorsal</c:v>
                </c:pt>
                <c:pt idx="7">
                  <c:v>Região Lombar</c:v>
                </c:pt>
                <c:pt idx="8">
                  <c:v>Quadris/membros inferiores</c:v>
                </c:pt>
              </c:strCache>
            </c:strRef>
          </c:cat>
          <c:val>
            <c:numRef>
              <c:f>Plan1!$E$1:$E$9</c:f>
              <c:numCache>
                <c:formatCode>0%</c:formatCode>
                <c:ptCount val="9"/>
                <c:pt idx="0" formatCode="#.000%">
                  <c:v>9.0899999999999995E-2</c:v>
                </c:pt>
                <c:pt idx="1">
                  <c:v>0</c:v>
                </c:pt>
                <c:pt idx="2">
                  <c:v>0</c:v>
                </c:pt>
                <c:pt idx="3" formatCode="#.000%">
                  <c:v>9.0899999999999995E-2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4"/>
          <c:order val="4"/>
          <c:invertIfNegative val="0"/>
          <c:cat>
            <c:strRef>
              <c:f>Plan1!$A$1:$A$9</c:f>
              <c:strCache>
                <c:ptCount val="9"/>
                <c:pt idx="0">
                  <c:v>Região Cervical</c:v>
                </c:pt>
                <c:pt idx="1">
                  <c:v>Ombros</c:v>
                </c:pt>
                <c:pt idx="2">
                  <c:v>Braços</c:v>
                </c:pt>
                <c:pt idx="3">
                  <c:v>Cotovelos</c:v>
                </c:pt>
                <c:pt idx="4">
                  <c:v>Antebraços</c:v>
                </c:pt>
                <c:pt idx="5">
                  <c:v>Punhos/mãos/dedos</c:v>
                </c:pt>
                <c:pt idx="6">
                  <c:v>Região Dorsal</c:v>
                </c:pt>
                <c:pt idx="7">
                  <c:v>Região Lombar</c:v>
                </c:pt>
                <c:pt idx="8">
                  <c:v>Quadris/membros inferiores</c:v>
                </c:pt>
              </c:strCache>
            </c:strRef>
          </c:cat>
          <c:val>
            <c:numRef>
              <c:f>Plan1!$F$1:$F$9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163384"/>
        <c:axId val="241091784"/>
      </c:barChart>
      <c:catAx>
        <c:axId val="357163384"/>
        <c:scaling>
          <c:orientation val="minMax"/>
        </c:scaling>
        <c:delete val="0"/>
        <c:axPos val="b"/>
        <c:numFmt formatCode="ge\r\a\l" sourceLinked="0"/>
        <c:majorTickMark val="out"/>
        <c:minorTickMark val="none"/>
        <c:tickLblPos val="nextTo"/>
        <c:crossAx val="241091784"/>
        <c:crosses val="autoZero"/>
        <c:auto val="1"/>
        <c:lblAlgn val="ctr"/>
        <c:lblOffset val="100"/>
        <c:noMultiLvlLbl val="0"/>
      </c:catAx>
      <c:valAx>
        <c:axId val="241091784"/>
        <c:scaling>
          <c:orientation val="minMax"/>
        </c:scaling>
        <c:delete val="0"/>
        <c:axPos val="l"/>
        <c:majorGridlines/>
        <c:numFmt formatCode="#.000%" sourceLinked="1"/>
        <c:majorTickMark val="out"/>
        <c:minorTickMark val="none"/>
        <c:tickLblPos val="nextTo"/>
        <c:crossAx val="357163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7979605073019294"/>
          <c:y val="0.75900505281154296"/>
          <c:w val="7.279880379431663E-3"/>
          <c:h val="1.674563333678807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0.88546</cdr:x>
      <cdr:y>0.22475</cdr:y>
    </cdr:from>
    <cdr:to>
      <cdr:x>0.98062</cdr:x>
      <cdr:y>0.27312</cdr:y>
    </cdr:to>
    <cdr:pic>
      <cdr:nvPicPr>
        <cdr:cNvPr id="3" name="Imagem 2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220641" y="752475"/>
          <a:ext cx="561097" cy="16194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0.83594</cdr:x>
      <cdr:y>0.29587</cdr:y>
    </cdr:from>
    <cdr:to>
      <cdr:x>1</cdr:x>
      <cdr:y>0.34993</cdr:y>
    </cdr:to>
    <cdr:pic>
      <cdr:nvPicPr>
        <cdr:cNvPr id="4" name="Imagem 3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928687" y="990600"/>
          <a:ext cx="967289" cy="18097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0.79975</cdr:x>
      <cdr:y>0.36415</cdr:y>
    </cdr:from>
    <cdr:to>
      <cdr:x>1</cdr:x>
      <cdr:y>0.41821</cdr:y>
    </cdr:to>
    <cdr:pic>
      <cdr:nvPicPr>
        <cdr:cNvPr id="5" name="Imagem 4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715330" y="1219200"/>
          <a:ext cx="1180646" cy="18097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0.86753</cdr:x>
      <cdr:y>0.42959</cdr:y>
    </cdr:from>
    <cdr:to>
      <cdr:x>0.99517</cdr:x>
      <cdr:y>0.49503</cdr:y>
    </cdr:to>
    <cdr:pic>
      <cdr:nvPicPr>
        <cdr:cNvPr id="6" name="Imagem 5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114925" y="1438275"/>
          <a:ext cx="752580" cy="21910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dcterms:created xsi:type="dcterms:W3CDTF">2016-07-25T20:39:00Z</dcterms:created>
  <dcterms:modified xsi:type="dcterms:W3CDTF">2016-08-08T14:55:00Z</dcterms:modified>
</cp:coreProperties>
</file>