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D9" w:rsidRPr="00A43C63" w:rsidRDefault="001144B9" w:rsidP="00A43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C63">
        <w:rPr>
          <w:rFonts w:ascii="Times New Roman" w:hAnsi="Times New Roman" w:cs="Times New Roman"/>
          <w:b/>
          <w:sz w:val="24"/>
          <w:szCs w:val="24"/>
        </w:rPr>
        <w:t>A</w:t>
      </w:r>
      <w:proofErr w:type="gramStart"/>
      <w:r w:rsidRPr="00A43C6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A43C63">
        <w:rPr>
          <w:rFonts w:ascii="Times New Roman" w:hAnsi="Times New Roman" w:cs="Times New Roman"/>
          <w:b/>
          <w:sz w:val="24"/>
          <w:szCs w:val="24"/>
        </w:rPr>
        <w:t>ACUMULAÇÃO DO ADICIONAL DE INSALUBRIDADE E PERICULOSIDADE</w:t>
      </w:r>
    </w:p>
    <w:p w:rsidR="00BF6022" w:rsidRPr="001144B9" w:rsidRDefault="001144B9" w:rsidP="00A4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tempos</w:t>
      </w:r>
      <w:r w:rsidR="0050106C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 xml:space="preserve"> que a evolução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social ocorre com extrema rapidez, questiona-se até que ponto a sociedade pode buscar pelo progresso, sem colocar em risco o bem jurídico mais precioso: a vida. Certos ofícios continuam refletindo na saúde do trabalhador, com isso temos em nosso ordenamento jurídico dois adicionais salariais, o de insalubridade e o de periculosidade. Primeiramente o adicional de insalubridade, previsto no artigo 192 da CLT, e regulamentado pela Norma Regulamentadora nº 15 (NR15) do Ministério do Trabalho. O referido artigo da</w:t>
      </w:r>
      <w:r w:rsidR="00D76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CLT traz a previsão legal enquanto a NR 15 especifica quais as atividades são insalubres e qual o seu respectivo grau. O adicional de periculosidade está previsto no artigo 193 da CLT e regulamentado pela Norma </w:t>
      </w:r>
      <w:r w:rsidR="00D76A00">
        <w:rPr>
          <w:rFonts w:ascii="Times New Roman" w:hAnsi="Times New Roman" w:cs="Times New Roman"/>
          <w:sz w:val="24"/>
          <w:szCs w:val="24"/>
        </w:rPr>
        <w:t xml:space="preserve">Regulamentadora nº 16 (NR 16) do Ministério do </w:t>
      </w:r>
      <w:proofErr w:type="gramStart"/>
      <w:r w:rsidR="00D76A00">
        <w:rPr>
          <w:rFonts w:ascii="Times New Roman" w:hAnsi="Times New Roman" w:cs="Times New Roman"/>
          <w:sz w:val="24"/>
          <w:szCs w:val="24"/>
        </w:rPr>
        <w:t>Trabalho.</w:t>
      </w:r>
      <w:proofErr w:type="gramEnd"/>
      <w:r w:rsidR="00D76A00">
        <w:rPr>
          <w:rFonts w:ascii="Times New Roman" w:hAnsi="Times New Roman" w:cs="Times New Roman"/>
          <w:sz w:val="24"/>
          <w:szCs w:val="24"/>
        </w:rPr>
        <w:t xml:space="preserve">Torna-se de suma importância resaltar que tais adicionais tem previsão anterior a Constituição, mas foram recepcionados por ela, como direito básico do trabalhador, especificadamente no artigo 7º inciso XXIII da CF/1988. A acumulação destes dois adicionais pra um trabalhador tem sido </w:t>
      </w:r>
      <w:r w:rsidR="0050106C">
        <w:rPr>
          <w:rFonts w:ascii="Times New Roman" w:hAnsi="Times New Roman" w:cs="Times New Roman"/>
          <w:sz w:val="24"/>
          <w:szCs w:val="24"/>
        </w:rPr>
        <w:t>discutida</w:t>
      </w:r>
      <w:r w:rsidR="00D76A00">
        <w:rPr>
          <w:rFonts w:ascii="Times New Roman" w:hAnsi="Times New Roman" w:cs="Times New Roman"/>
          <w:sz w:val="24"/>
          <w:szCs w:val="24"/>
        </w:rPr>
        <w:t xml:space="preserve"> por duas correntes, uma que não aceita a acumulação </w:t>
      </w:r>
      <w:r w:rsidR="0050106C">
        <w:rPr>
          <w:rFonts w:ascii="Times New Roman" w:hAnsi="Times New Roman" w:cs="Times New Roman"/>
          <w:sz w:val="24"/>
          <w:szCs w:val="24"/>
        </w:rPr>
        <w:t>como base em</w:t>
      </w:r>
      <w:r w:rsidR="00D76A00">
        <w:rPr>
          <w:rFonts w:ascii="Times New Roman" w:hAnsi="Times New Roman" w:cs="Times New Roman"/>
          <w:sz w:val="24"/>
          <w:szCs w:val="24"/>
        </w:rPr>
        <w:t xml:space="preserve"> argumentos como os de ordem técnica processual, uma vez que em tese é possível imaginar um trabalho onde simultaneamente o trabalhador seja exposto a condiç</w:t>
      </w:r>
      <w:r w:rsidR="00BF6022">
        <w:rPr>
          <w:rFonts w:ascii="Times New Roman" w:hAnsi="Times New Roman" w:cs="Times New Roman"/>
          <w:sz w:val="24"/>
          <w:szCs w:val="24"/>
        </w:rPr>
        <w:t>õ</w:t>
      </w:r>
      <w:r w:rsidR="00D76A00">
        <w:rPr>
          <w:rFonts w:ascii="Times New Roman" w:hAnsi="Times New Roman" w:cs="Times New Roman"/>
          <w:sz w:val="24"/>
          <w:szCs w:val="24"/>
        </w:rPr>
        <w:t>es insalubres e perigosas. O argumento material desta corrente defende que a acumulação representaria um enriquecimento sem causa do trabalhador, já que tem direito de escolher</w:t>
      </w:r>
      <w:r w:rsidR="00BF6022">
        <w:rPr>
          <w:rFonts w:ascii="Times New Roman" w:hAnsi="Times New Roman" w:cs="Times New Roman"/>
          <w:sz w:val="24"/>
          <w:szCs w:val="24"/>
        </w:rPr>
        <w:t xml:space="preserve"> o adicional mais vantajoso economicamente, nos termos do art. 193 da CLT.</w:t>
      </w:r>
      <w:r w:rsidR="00A43C63">
        <w:rPr>
          <w:rFonts w:ascii="Times New Roman" w:hAnsi="Times New Roman" w:cs="Times New Roman"/>
          <w:sz w:val="24"/>
          <w:szCs w:val="24"/>
        </w:rPr>
        <w:t xml:space="preserve"> </w:t>
      </w:r>
      <w:r w:rsidR="00BF6022">
        <w:rPr>
          <w:rFonts w:ascii="Times New Roman" w:hAnsi="Times New Roman" w:cs="Times New Roman"/>
          <w:sz w:val="24"/>
          <w:szCs w:val="24"/>
        </w:rPr>
        <w:t xml:space="preserve">Já o argumento técnico </w:t>
      </w:r>
      <w:proofErr w:type="gramStart"/>
      <w:r w:rsidR="00BF6022">
        <w:rPr>
          <w:rFonts w:ascii="Times New Roman" w:hAnsi="Times New Roman" w:cs="Times New Roman"/>
          <w:sz w:val="24"/>
          <w:szCs w:val="24"/>
        </w:rPr>
        <w:t>processual ,</w:t>
      </w:r>
      <w:proofErr w:type="gramEnd"/>
      <w:r w:rsidR="00BF6022">
        <w:rPr>
          <w:rFonts w:ascii="Times New Roman" w:hAnsi="Times New Roman" w:cs="Times New Roman"/>
          <w:sz w:val="24"/>
          <w:szCs w:val="24"/>
        </w:rPr>
        <w:t xml:space="preserve"> amparado pelo princípio da legalidade, é de que tal lei prevê claramente que é proibida a</w:t>
      </w:r>
      <w:r w:rsidR="00DE681C">
        <w:rPr>
          <w:rFonts w:ascii="Times New Roman" w:hAnsi="Times New Roman" w:cs="Times New Roman"/>
          <w:sz w:val="24"/>
          <w:szCs w:val="24"/>
        </w:rPr>
        <w:t xml:space="preserve"> </w:t>
      </w:r>
      <w:r w:rsidR="00BF6022">
        <w:rPr>
          <w:rFonts w:ascii="Times New Roman" w:hAnsi="Times New Roman" w:cs="Times New Roman"/>
          <w:sz w:val="24"/>
          <w:szCs w:val="24"/>
        </w:rPr>
        <w:t>acumulação dos adicionais conforme o § 2º do art. 193 da CLT e ainda i item 15.3 da NR-15 da portaria do MTB nº 3.214/782. Além das vedações</w:t>
      </w:r>
      <w:proofErr w:type="gramStart"/>
      <w:r w:rsidR="00BF60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F6022">
        <w:rPr>
          <w:rFonts w:ascii="Times New Roman" w:hAnsi="Times New Roman" w:cs="Times New Roman"/>
          <w:sz w:val="24"/>
          <w:szCs w:val="24"/>
        </w:rPr>
        <w:t>taxativas, o art. 7º inciso XXIII da CF, prevê quais os adicionais serão concedidos, utilizando o conectivo “ou”, o que prevê para essa corrente majoritária a vedação da acumulação destes adicionais. A outra corrente, que é favorável a acumulação destes adicionais</w:t>
      </w:r>
      <w:r w:rsidR="00F13972">
        <w:rPr>
          <w:rFonts w:ascii="Times New Roman" w:hAnsi="Times New Roman" w:cs="Times New Roman"/>
          <w:sz w:val="24"/>
          <w:szCs w:val="24"/>
        </w:rPr>
        <w:t xml:space="preserve"> tem em seus argumentos de direito material</w:t>
      </w:r>
      <w:r w:rsidR="00DE681C">
        <w:rPr>
          <w:rFonts w:ascii="Times New Roman" w:hAnsi="Times New Roman" w:cs="Times New Roman"/>
          <w:sz w:val="24"/>
          <w:szCs w:val="24"/>
        </w:rPr>
        <w:t xml:space="preserve"> </w:t>
      </w:r>
      <w:r w:rsidR="00F13972">
        <w:rPr>
          <w:rFonts w:ascii="Times New Roman" w:hAnsi="Times New Roman" w:cs="Times New Roman"/>
          <w:sz w:val="24"/>
          <w:szCs w:val="24"/>
        </w:rPr>
        <w:t>que a saúde e a vida dos trabalhadores, resaltando ainda que</w:t>
      </w:r>
      <w:r w:rsidR="005474DD">
        <w:rPr>
          <w:rFonts w:ascii="Times New Roman" w:hAnsi="Times New Roman" w:cs="Times New Roman"/>
          <w:sz w:val="24"/>
          <w:szCs w:val="24"/>
        </w:rPr>
        <w:t xml:space="preserve"> se trate</w:t>
      </w:r>
      <w:r w:rsidR="00DE681C">
        <w:rPr>
          <w:rFonts w:ascii="Times New Roman" w:hAnsi="Times New Roman" w:cs="Times New Roman"/>
          <w:sz w:val="24"/>
          <w:szCs w:val="24"/>
        </w:rPr>
        <w:t xml:space="preserve"> de dois adicionais distintos, com hipóteses de incidência e efeitos pecuniários diversos.</w:t>
      </w:r>
      <w:r w:rsidR="005474DD">
        <w:rPr>
          <w:rFonts w:ascii="Times New Roman" w:hAnsi="Times New Roman" w:cs="Times New Roman"/>
          <w:sz w:val="24"/>
          <w:szCs w:val="24"/>
        </w:rPr>
        <w:t xml:space="preserve"> Quanto</w:t>
      </w:r>
      <w:r w:rsidR="00DE681C">
        <w:rPr>
          <w:rFonts w:ascii="Times New Roman" w:hAnsi="Times New Roman" w:cs="Times New Roman"/>
          <w:sz w:val="24"/>
          <w:szCs w:val="24"/>
        </w:rPr>
        <w:t xml:space="preserve"> aos argumentos técnicos, essa corente tem duas centrais, primeira diz respeito à inconstitucionalidade da vedação legal, uma vez que a CF/</w:t>
      </w:r>
      <w:r w:rsidR="004345F5">
        <w:rPr>
          <w:rFonts w:ascii="Times New Roman" w:hAnsi="Times New Roman" w:cs="Times New Roman"/>
          <w:sz w:val="24"/>
          <w:szCs w:val="24"/>
        </w:rPr>
        <w:t>88</w:t>
      </w:r>
      <w:r w:rsidR="00DE681C">
        <w:rPr>
          <w:rFonts w:ascii="Times New Roman" w:hAnsi="Times New Roman" w:cs="Times New Roman"/>
          <w:sz w:val="24"/>
          <w:szCs w:val="24"/>
        </w:rPr>
        <w:t xml:space="preserve">, em seu art. 7º inciso XXIII, não faz menção expressa </w:t>
      </w:r>
      <w:proofErr w:type="gramStart"/>
      <w:r w:rsidR="00DE681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E681C">
        <w:rPr>
          <w:rFonts w:ascii="Times New Roman" w:hAnsi="Times New Roman" w:cs="Times New Roman"/>
          <w:sz w:val="24"/>
          <w:szCs w:val="24"/>
        </w:rPr>
        <w:t xml:space="preserve"> vedação, e segundo essa corrente isto demonstra que a Constituição não recepcionou o §2º do artigo 193 da CLT, que é de 1977. Esta segunda tese é que vem sido acolhida pelos Tribunais Regionais do Trabalho, é baseada no Direito Internacional do Trabalho, posto que o Brasil já </w:t>
      </w:r>
      <w:proofErr w:type="gramStart"/>
      <w:r w:rsidR="00DE681C">
        <w:rPr>
          <w:rFonts w:ascii="Times New Roman" w:hAnsi="Times New Roman" w:cs="Times New Roman"/>
          <w:sz w:val="24"/>
          <w:szCs w:val="24"/>
        </w:rPr>
        <w:t>ratificou</w:t>
      </w:r>
      <w:proofErr w:type="gramEnd"/>
      <w:r w:rsidR="00DE681C">
        <w:rPr>
          <w:rFonts w:ascii="Times New Roman" w:hAnsi="Times New Roman" w:cs="Times New Roman"/>
          <w:sz w:val="24"/>
          <w:szCs w:val="24"/>
        </w:rPr>
        <w:t xml:space="preserve"> a convenção nº 155 da Organização Internacional do Trabalho (OIT), que em seu artigo 11 alínea b, aplicando uma interpretação de proteção a saúde do trabalhador.</w:t>
      </w:r>
      <w:r w:rsidR="00A43C63">
        <w:rPr>
          <w:rFonts w:ascii="Times New Roman" w:hAnsi="Times New Roman" w:cs="Times New Roman"/>
          <w:sz w:val="24"/>
          <w:szCs w:val="24"/>
        </w:rPr>
        <w:t xml:space="preserve"> Torna-se evidente que o argumento mais frágil desta discussão, é o que afirma que a cumulação seria um enriquecimento sem causa do trabalhador, e a fragilidade deste argumento é óbvia, uma vez que se ele está exposto aos riscos que fundamentam o adicional de periculosidade e ainda aos agentes insalubres que </w:t>
      </w:r>
      <w:r w:rsidR="005474DD">
        <w:rPr>
          <w:rFonts w:ascii="Times New Roman" w:hAnsi="Times New Roman" w:cs="Times New Roman"/>
          <w:sz w:val="24"/>
          <w:szCs w:val="24"/>
        </w:rPr>
        <w:t>justifiquem</w:t>
      </w:r>
      <w:r w:rsidR="00A43C63">
        <w:rPr>
          <w:rFonts w:ascii="Times New Roman" w:hAnsi="Times New Roman" w:cs="Times New Roman"/>
          <w:sz w:val="24"/>
          <w:szCs w:val="24"/>
        </w:rPr>
        <w:t xml:space="preserve"> o adicional de insalubridade, </w:t>
      </w:r>
      <w:r w:rsidR="005474DD">
        <w:rPr>
          <w:rFonts w:ascii="Times New Roman" w:hAnsi="Times New Roman" w:cs="Times New Roman"/>
          <w:sz w:val="24"/>
          <w:szCs w:val="24"/>
        </w:rPr>
        <w:t>situação em que seria devido</w:t>
      </w:r>
      <w:r w:rsidR="00A43C63">
        <w:rPr>
          <w:rFonts w:ascii="Times New Roman" w:hAnsi="Times New Roman" w:cs="Times New Roman"/>
          <w:sz w:val="24"/>
          <w:szCs w:val="24"/>
        </w:rPr>
        <w:t xml:space="preserve"> o recebimento dos dois adicionais, que são distintos. </w:t>
      </w:r>
      <w:r w:rsidR="005474DD">
        <w:rPr>
          <w:rFonts w:ascii="Times New Roman" w:hAnsi="Times New Roman" w:cs="Times New Roman"/>
          <w:sz w:val="24"/>
          <w:szCs w:val="24"/>
        </w:rPr>
        <w:t xml:space="preserve">Enfatizando </w:t>
      </w:r>
      <w:r w:rsidR="00A43C63">
        <w:rPr>
          <w:rFonts w:ascii="Times New Roman" w:hAnsi="Times New Roman" w:cs="Times New Roman"/>
          <w:sz w:val="24"/>
          <w:szCs w:val="24"/>
        </w:rPr>
        <w:t xml:space="preserve">ainda que </w:t>
      </w:r>
      <w:r w:rsidR="005474DD">
        <w:rPr>
          <w:rFonts w:ascii="Times New Roman" w:hAnsi="Times New Roman" w:cs="Times New Roman"/>
          <w:sz w:val="24"/>
          <w:szCs w:val="24"/>
        </w:rPr>
        <w:t>deverá ser respeitada a dignidade da pessoa humana</w:t>
      </w:r>
      <w:r w:rsidR="00A43C63">
        <w:rPr>
          <w:rFonts w:ascii="Times New Roman" w:hAnsi="Times New Roman" w:cs="Times New Roman"/>
          <w:sz w:val="24"/>
          <w:szCs w:val="24"/>
        </w:rPr>
        <w:t xml:space="preserve"> com uma interpretação ampla, e não restritiva </w:t>
      </w:r>
      <w:r w:rsidR="005474DD">
        <w:rPr>
          <w:rFonts w:ascii="Times New Roman" w:hAnsi="Times New Roman" w:cs="Times New Roman"/>
          <w:sz w:val="24"/>
          <w:szCs w:val="24"/>
        </w:rPr>
        <w:t>que possa vir a causar algum prejuízo ao trabalhador</w:t>
      </w:r>
      <w:bookmarkStart w:id="0" w:name="_GoBack"/>
      <w:bookmarkEnd w:id="0"/>
      <w:r w:rsidR="00A43C63">
        <w:rPr>
          <w:rFonts w:ascii="Times New Roman" w:hAnsi="Times New Roman" w:cs="Times New Roman"/>
          <w:sz w:val="24"/>
          <w:szCs w:val="24"/>
        </w:rPr>
        <w:t>.</w:t>
      </w:r>
    </w:p>
    <w:p w:rsidR="001144B9" w:rsidRDefault="001144B9"/>
    <w:sectPr w:rsidR="001144B9" w:rsidSect="00A43C63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4B9"/>
    <w:rsid w:val="001144B9"/>
    <w:rsid w:val="004345F5"/>
    <w:rsid w:val="0050106C"/>
    <w:rsid w:val="005474DD"/>
    <w:rsid w:val="00A43C63"/>
    <w:rsid w:val="00BF6022"/>
    <w:rsid w:val="00CF05D9"/>
    <w:rsid w:val="00D76A00"/>
    <w:rsid w:val="00DE681C"/>
    <w:rsid w:val="00F1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daeb</cp:lastModifiedBy>
  <cp:revision>6</cp:revision>
  <cp:lastPrinted>2016-06-26T21:00:00Z</cp:lastPrinted>
  <dcterms:created xsi:type="dcterms:W3CDTF">2016-06-26T20:09:00Z</dcterms:created>
  <dcterms:modified xsi:type="dcterms:W3CDTF">2016-08-15T17:07:00Z</dcterms:modified>
</cp:coreProperties>
</file>