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CC" w:rsidRPr="00247141" w:rsidRDefault="009131CC" w:rsidP="00247141">
      <w:pPr>
        <w:pStyle w:val="Ttulo1"/>
        <w:shd w:val="clear" w:color="auto" w:fill="FFFFFF"/>
        <w:spacing w:before="0" w:after="0" w:line="360" w:lineRule="auto"/>
        <w:ind w:left="0" w:firstLine="0"/>
        <w:jc w:val="center"/>
        <w:textAlignment w:val="baseline"/>
        <w:rPr>
          <w:rFonts w:ascii="Arial" w:hAnsi="Arial" w:cs="Arial"/>
          <w:caps/>
          <w:color w:val="FF0000"/>
          <w:sz w:val="28"/>
          <w:szCs w:val="28"/>
        </w:rPr>
      </w:pPr>
      <w:r w:rsidRPr="00247141">
        <w:rPr>
          <w:rFonts w:ascii="Arial" w:hAnsi="Arial" w:cs="Arial"/>
          <w:caps/>
          <w:color w:val="202020"/>
          <w:sz w:val="28"/>
          <w:szCs w:val="28"/>
        </w:rPr>
        <w:t>13ª MOSTRA DE INICIAÇÃO CIENTÍFICA</w:t>
      </w:r>
    </w:p>
    <w:p w:rsidR="009131CC" w:rsidRDefault="009131CC" w:rsidP="00247141">
      <w:pPr>
        <w:pStyle w:val="Corpodetexto"/>
        <w:shd w:val="clear" w:color="auto" w:fill="FFFFFF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</w:p>
    <w:p w:rsidR="00F247EF" w:rsidRPr="00247141" w:rsidRDefault="00F247EF" w:rsidP="00247141">
      <w:pPr>
        <w:pStyle w:val="NoSpacing"/>
        <w:spacing w:line="360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247141">
        <w:rPr>
          <w:rFonts w:ascii="Arial" w:hAnsi="Arial" w:cs="Arial"/>
          <w:b/>
          <w:sz w:val="28"/>
          <w:szCs w:val="28"/>
          <w:shd w:val="clear" w:color="auto" w:fill="FFFFFF"/>
        </w:rPr>
        <w:t xml:space="preserve">Vulnerabilidade Material e Processual em </w:t>
      </w:r>
    </w:p>
    <w:p w:rsidR="009131CC" w:rsidRPr="00247141" w:rsidRDefault="00F247EF" w:rsidP="00247141">
      <w:pPr>
        <w:pStyle w:val="NoSpacing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47141">
        <w:rPr>
          <w:rFonts w:ascii="Arial" w:hAnsi="Arial" w:cs="Arial"/>
          <w:b/>
          <w:sz w:val="28"/>
          <w:szCs w:val="28"/>
          <w:shd w:val="clear" w:color="auto" w:fill="FFFFFF"/>
        </w:rPr>
        <w:t>Crimes Contra a Dignidade Sexual</w:t>
      </w:r>
    </w:p>
    <w:p w:rsidR="009131CC" w:rsidRPr="00247141" w:rsidRDefault="009131CC" w:rsidP="00247141">
      <w:pPr>
        <w:pStyle w:val="NoSpacing"/>
        <w:spacing w:line="360" w:lineRule="auto"/>
        <w:rPr>
          <w:rFonts w:ascii="Arial" w:hAnsi="Arial" w:cs="Arial"/>
          <w:shd w:val="clear" w:color="auto" w:fill="FFFFFF"/>
        </w:rPr>
      </w:pPr>
    </w:p>
    <w:p w:rsidR="00F96FAA" w:rsidRPr="00247141" w:rsidRDefault="00856824" w:rsidP="0024714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Atualmente existem </w:t>
      </w:r>
      <w:r w:rsidR="001B3D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diversas discussões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envolvendo </w:t>
      </w:r>
      <w:r w:rsidR="003C418B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delitos sexuais contra vulnerável</w:t>
      </w:r>
      <w:r w:rsidR="001B3D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Parte das </w:t>
      </w:r>
      <w:r w:rsidR="00352536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discuss</w:t>
      </w:r>
      <w:r w:rsidR="00136A8B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ões</w:t>
      </w:r>
      <w:r w:rsidR="00352536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B3DAA">
        <w:rPr>
          <w:rFonts w:ascii="Arial" w:hAnsi="Arial" w:cs="Arial"/>
          <w:color w:val="000000"/>
          <w:sz w:val="24"/>
          <w:szCs w:val="24"/>
          <w:shd w:val="clear" w:color="auto" w:fill="FFFFFF"/>
        </w:rPr>
        <w:t>decorre d</w:t>
      </w:r>
      <w:r w:rsidR="00352536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fato de que </w:t>
      </w:r>
      <w:r w:rsidR="003C418B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a lei penal permite o fracionamento da vulnerabilidade elencada</w:t>
      </w:r>
      <w:r w:rsid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segunda parte do</w:t>
      </w:r>
      <w:r w:rsidR="003C418B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§1º,</w:t>
      </w:r>
      <w:r w:rsidR="001B3D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art. 217-A do Código Penal b</w:t>
      </w:r>
      <w:r w:rsidR="003C418B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rasileiro, </w:t>
      </w:r>
      <w:r w:rsidR="00935893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 vulnerabilidade material e processual, </w:t>
      </w:r>
      <w:r w:rsidR="00136A8B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no que</w:t>
      </w:r>
      <w:r w:rsidR="001B3D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tange à natureza da ação penal. Para isso,</w:t>
      </w:r>
      <w:r w:rsidR="00136A8B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B3DAA">
        <w:rPr>
          <w:rFonts w:ascii="Arial" w:hAnsi="Arial" w:cs="Arial"/>
          <w:color w:val="000000"/>
          <w:sz w:val="24"/>
          <w:szCs w:val="24"/>
          <w:shd w:val="clear" w:color="auto" w:fill="FFFFFF"/>
        </w:rPr>
        <w:t>leva</w:t>
      </w:r>
      <w:r w:rsidR="003C418B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-se em conta</w:t>
      </w:r>
      <w:r w:rsidR="001B3D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C418B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o fato de</w:t>
      </w:r>
      <w:r w:rsidR="00352536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que, em muitos casos, a vulnerabilidade é dotada de caráter puramente transitório, </w:t>
      </w:r>
      <w:r w:rsidR="00136A8B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condição </w:t>
      </w:r>
      <w:r w:rsidR="00352536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que acomete a vítima</w:t>
      </w:r>
      <w:r w:rsidR="00935893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crime sexual</w:t>
      </w:r>
      <w:r w:rsidR="00136A8B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unicamente </w:t>
      </w:r>
      <w:r w:rsidR="00352536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no momento da prática d</w:t>
      </w:r>
      <w:r w:rsidR="00935893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elitiva</w:t>
      </w:r>
      <w:r w:rsidR="00352536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deixa de existir</w:t>
      </w:r>
      <w:r w:rsidR="001B3DAA">
        <w:rPr>
          <w:rFonts w:ascii="Arial" w:hAnsi="Arial" w:cs="Arial"/>
          <w:color w:val="000000"/>
          <w:sz w:val="24"/>
          <w:szCs w:val="24"/>
          <w:shd w:val="clear" w:color="auto" w:fill="FFFFFF"/>
        </w:rPr>
        <w:t>. Por esse</w:t>
      </w:r>
      <w:r w:rsidR="00136A8B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35893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motivo</w:t>
      </w:r>
      <w:r w:rsidR="001B3DAA">
        <w:rPr>
          <w:rFonts w:ascii="Arial" w:hAnsi="Arial" w:cs="Arial"/>
          <w:color w:val="000000"/>
          <w:sz w:val="24"/>
          <w:szCs w:val="24"/>
          <w:shd w:val="clear" w:color="auto" w:fill="FFFFFF"/>
        </w:rPr>
        <w:t>, a vulnerabilidade</w:t>
      </w:r>
      <w:r w:rsidR="00935893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não poderia refletir de forma direta </w:t>
      </w:r>
      <w:r w:rsid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no</w:t>
      </w:r>
      <w:r w:rsidR="00935893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processo penal, de modo a desprezar </w:t>
      </w:r>
      <w:r w:rsid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="00136A8B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capacidade da vítima</w:t>
      </w:r>
      <w:r w:rsidR="00935893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afastando a possibilidade </w:t>
      </w:r>
      <w:r w:rsid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</w:t>
      </w:r>
      <w:r w:rsidR="00935893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que a pessoa ofendida possa</w:t>
      </w:r>
      <w:r w:rsidR="00136A8B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manifestar o interesse na persecução penal em desfavor do autor do crime.</w:t>
      </w:r>
      <w:r w:rsid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B3DAA">
        <w:rPr>
          <w:rFonts w:ascii="Arial" w:hAnsi="Arial" w:cs="Arial"/>
          <w:color w:val="000000"/>
          <w:sz w:val="24"/>
          <w:szCs w:val="24"/>
          <w:shd w:val="clear" w:color="auto" w:fill="FFFFFF"/>
        </w:rPr>
        <w:t>O objetivo</w:t>
      </w:r>
      <w:r w:rsidR="00E81287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presente</w:t>
      </w:r>
      <w:r w:rsidR="00014E03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é</w:t>
      </w:r>
      <w:r w:rsidR="00935893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verificar a possibilidade de se aplicar os critérios de vulnerabilidade material e processual, sem se violar ou desconsiderar as previsões legais</w:t>
      </w:r>
      <w:r w:rsidR="001B3D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vigentes no Brasil.</w:t>
      </w:r>
      <w:r w:rsid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720BC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O mé</w:t>
      </w:r>
      <w:r w:rsidR="00014E03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todo utilizado é o dedutivo.</w:t>
      </w:r>
      <w:r w:rsid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</w:t>
      </w:r>
      <w:r w:rsidR="00014E03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pós análise das disposições legais, doutrinárias e jurisprudenciais</w:t>
      </w:r>
      <w:r w:rsidR="000B0B60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059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 tratam da </w:t>
      </w:r>
      <w:r w:rsidR="000B0B60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temática</w:t>
      </w:r>
      <w:r w:rsidR="001B3D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observa-se </w:t>
      </w:r>
      <w:r w:rsidR="000B0B60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 a classificação da vulnerabilidade em material e processual é uma necessidade latente que emana da legislação penal vigente, e gradativamente vem sendo aplicada, a fim de produzir um </w:t>
      </w:r>
      <w:r w:rsid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="000B0B60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ireito </w:t>
      </w:r>
      <w:r w:rsid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0B0B60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enal mais justo e um </w:t>
      </w:r>
      <w:r w:rsidR="00D059BF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0B0B60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rocesso </w:t>
      </w:r>
      <w:r w:rsidR="00D059BF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0B0B60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enal, primor</w:t>
      </w:r>
      <w:r w:rsidR="001B3DAA">
        <w:rPr>
          <w:rFonts w:ascii="Arial" w:hAnsi="Arial" w:cs="Arial"/>
          <w:color w:val="000000"/>
          <w:sz w:val="24"/>
          <w:szCs w:val="24"/>
          <w:shd w:val="clear" w:color="auto" w:fill="FFFFFF"/>
        </w:rPr>
        <w:t>dialmente, dotado de legalidade. Daí emana</w:t>
      </w:r>
      <w:r w:rsidR="000B0B60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relevante importância da classificação da natureza da ação penal.</w:t>
      </w:r>
      <w:r w:rsidR="00D059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B3DAA">
        <w:rPr>
          <w:rFonts w:ascii="Arial" w:hAnsi="Arial" w:cs="Arial"/>
          <w:color w:val="000000"/>
          <w:sz w:val="24"/>
          <w:szCs w:val="24"/>
          <w:shd w:val="clear" w:color="auto" w:fill="FFFFFF"/>
        </w:rPr>
        <w:t>O trabalho possibilita concluir</w:t>
      </w:r>
      <w:r w:rsidR="000B0B60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</w:t>
      </w:r>
      <w:r w:rsidR="00B7223D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no contexto atual, a </w:t>
      </w:r>
      <w:r w:rsidR="004F0C39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aplicação de critérios que decompõem a</w:t>
      </w:r>
      <w:r w:rsidR="00B7223D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vulnerabilidade em material e processual</w:t>
      </w:r>
      <w:r w:rsidR="004F0C39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B7223D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nos crimes contra a dignidade sexual</w:t>
      </w:r>
      <w:r w:rsidR="004F0C39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B7223D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é medida acertada e que se adéqua a legislação penal vigente, eis que os reflexos d</w:t>
      </w:r>
      <w:r w:rsidR="004F0C39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B7223D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7223D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implementação</w:t>
      </w:r>
      <w:proofErr w:type="gramEnd"/>
      <w:r w:rsidR="00B7223D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F0C39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tal conceito </w:t>
      </w:r>
      <w:r w:rsidR="00D059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incidem, </w:t>
      </w:r>
      <w:r w:rsidR="001A7D50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primordialmente</w:t>
      </w:r>
      <w:r w:rsidR="00D059BF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1A7D50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processo, </w:t>
      </w:r>
      <w:r w:rsidR="004F0C39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com a modificação da natureza da ação penal nos casos previstos na segunda parte do §1º, do art. 217-A</w:t>
      </w:r>
      <w:r w:rsidR="001B3DAA">
        <w:rPr>
          <w:rFonts w:ascii="Arial" w:hAnsi="Arial" w:cs="Arial"/>
          <w:color w:val="000000"/>
          <w:sz w:val="24"/>
          <w:szCs w:val="24"/>
          <w:shd w:val="clear" w:color="auto" w:fill="FFFFFF"/>
        </w:rPr>
        <w:t>. Desta forma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4F0C39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torna temerário sobrepor o interesse coletivo ao da próp</w:t>
      </w:r>
      <w:r w:rsidR="00F96FAA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ria vítima </w:t>
      </w:r>
      <w:r w:rsidR="004F0C39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que possui plena capacidade postulatória</w:t>
      </w:r>
      <w:r w:rsidR="001B3DAA">
        <w:rPr>
          <w:rFonts w:ascii="Arial" w:hAnsi="Arial" w:cs="Arial"/>
          <w:color w:val="000000"/>
          <w:sz w:val="24"/>
          <w:szCs w:val="24"/>
          <w:shd w:val="clear" w:color="auto" w:fill="FFFFFF"/>
        </w:rPr>
        <w:t>. Isso n</w:t>
      </w:r>
      <w:r w:rsidR="00F96FAA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ão quer dizer que a ação penal vai deixar de ser incondicionada para os demais casos que englobam </w:t>
      </w:r>
      <w:r w:rsidR="00F96FAA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vulnerabilidade, eis que tais critérios são aplicáveis somente em relação àquele que </w:t>
      </w:r>
      <w:r w:rsidR="000B0B60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ficou na situação de vulnerável </w:t>
      </w:r>
      <w:r w:rsidR="00F96FAA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apenas </w:t>
      </w:r>
      <w:r w:rsidR="000B0B60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por ocasião do delito</w:t>
      </w:r>
      <w:r w:rsidR="00F96FAA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possui, por outro lado, </w:t>
      </w:r>
      <w:r w:rsidR="000B0B60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plena capacidade postulatória</w:t>
      </w:r>
      <w:r w:rsidR="00F96FAA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quando cessada a circunst</w:t>
      </w:r>
      <w:r w:rsidR="00D059BF">
        <w:rPr>
          <w:rFonts w:ascii="Arial" w:hAnsi="Arial" w:cs="Arial"/>
          <w:color w:val="000000"/>
          <w:sz w:val="24"/>
          <w:szCs w:val="24"/>
          <w:shd w:val="clear" w:color="auto" w:fill="FFFFFF"/>
        </w:rPr>
        <w:t>â</w:t>
      </w:r>
      <w:r w:rsidR="00F96FAA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ncia que o fez vulnerável para o cometimento do crime</w:t>
      </w:r>
      <w:r w:rsidR="001B3DAA">
        <w:rPr>
          <w:rFonts w:ascii="Arial" w:hAnsi="Arial" w:cs="Arial"/>
          <w:color w:val="000000"/>
          <w:sz w:val="24"/>
          <w:szCs w:val="24"/>
          <w:shd w:val="clear" w:color="auto" w:fill="FFFFFF"/>
        </w:rPr>
        <w:t>. O</w:t>
      </w:r>
      <w:r w:rsidR="000B0B60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96FAA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delito </w:t>
      </w:r>
      <w:r w:rsidR="001B3D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 questão </w:t>
      </w:r>
      <w:r w:rsidR="00F96FAA" w:rsidRPr="00247141">
        <w:rPr>
          <w:rFonts w:ascii="Arial" w:hAnsi="Arial" w:cs="Arial"/>
          <w:color w:val="000000"/>
          <w:sz w:val="24"/>
          <w:szCs w:val="24"/>
          <w:shd w:val="clear" w:color="auto" w:fill="FFFFFF"/>
        </w:rPr>
        <w:t>permanece abarcado pelo tipo do art. 217-A, §1°, do Código Penal, só que a ação penal será de natureza pública condicionada à representação, nos moldes da regra geral prevista para o tipo, nos termos do art. 225, caput, do Código Penal.</w:t>
      </w:r>
    </w:p>
    <w:p w:rsidR="00F96FAA" w:rsidRPr="00247141" w:rsidRDefault="00F96FAA" w:rsidP="0024714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131CC" w:rsidRPr="00247141" w:rsidRDefault="009131CC" w:rsidP="00247141">
      <w:pPr>
        <w:jc w:val="both"/>
        <w:rPr>
          <w:rFonts w:ascii="Arial" w:hAnsi="Arial" w:cs="Arial"/>
          <w:sz w:val="24"/>
          <w:szCs w:val="24"/>
        </w:rPr>
      </w:pPr>
      <w:r w:rsidRPr="00247141">
        <w:rPr>
          <w:rFonts w:ascii="Arial" w:hAnsi="Arial" w:cs="Arial"/>
          <w:b/>
          <w:sz w:val="24"/>
          <w:szCs w:val="24"/>
        </w:rPr>
        <w:t>Palavras-chave:</w:t>
      </w:r>
      <w:r w:rsidRPr="00247141">
        <w:rPr>
          <w:rFonts w:ascii="Arial" w:hAnsi="Arial" w:cs="Arial"/>
          <w:sz w:val="24"/>
          <w:szCs w:val="24"/>
        </w:rPr>
        <w:t xml:space="preserve"> </w:t>
      </w:r>
      <w:r w:rsidR="001B3DAA">
        <w:rPr>
          <w:rFonts w:ascii="Arial" w:hAnsi="Arial" w:cs="Arial"/>
          <w:sz w:val="24"/>
          <w:szCs w:val="24"/>
        </w:rPr>
        <w:t>C</w:t>
      </w:r>
      <w:r w:rsidR="003C418B" w:rsidRPr="00247141">
        <w:rPr>
          <w:rFonts w:ascii="Arial" w:hAnsi="Arial" w:cs="Arial"/>
          <w:sz w:val="24"/>
          <w:szCs w:val="24"/>
        </w:rPr>
        <w:t>rimes contra a dignidade sexual</w:t>
      </w:r>
      <w:r w:rsidR="001B3DAA">
        <w:rPr>
          <w:rFonts w:ascii="Arial" w:hAnsi="Arial" w:cs="Arial"/>
          <w:sz w:val="24"/>
          <w:szCs w:val="24"/>
        </w:rPr>
        <w:t>,</w:t>
      </w:r>
      <w:r w:rsidRPr="00247141">
        <w:rPr>
          <w:rFonts w:ascii="Arial" w:hAnsi="Arial" w:cs="Arial"/>
          <w:sz w:val="24"/>
          <w:szCs w:val="24"/>
        </w:rPr>
        <w:t xml:space="preserve"> </w:t>
      </w:r>
      <w:r w:rsidR="001B3DAA">
        <w:rPr>
          <w:rFonts w:ascii="Arial" w:hAnsi="Arial" w:cs="Arial"/>
          <w:sz w:val="24"/>
          <w:szCs w:val="24"/>
        </w:rPr>
        <w:t>V</w:t>
      </w:r>
      <w:r w:rsidR="003C418B" w:rsidRPr="00247141">
        <w:rPr>
          <w:rFonts w:ascii="Arial" w:hAnsi="Arial" w:cs="Arial"/>
          <w:sz w:val="24"/>
          <w:szCs w:val="24"/>
        </w:rPr>
        <w:t>ulnerabilidade material e processual</w:t>
      </w:r>
      <w:r w:rsidR="001B3DAA">
        <w:rPr>
          <w:rFonts w:ascii="Arial" w:hAnsi="Arial" w:cs="Arial"/>
          <w:sz w:val="24"/>
          <w:szCs w:val="24"/>
        </w:rPr>
        <w:t>,</w:t>
      </w:r>
      <w:r w:rsidRPr="00247141">
        <w:rPr>
          <w:rFonts w:ascii="Arial" w:hAnsi="Arial" w:cs="Arial"/>
          <w:sz w:val="24"/>
          <w:szCs w:val="24"/>
        </w:rPr>
        <w:t xml:space="preserve"> </w:t>
      </w:r>
      <w:r w:rsidR="001B3DAA">
        <w:rPr>
          <w:rFonts w:ascii="Arial" w:hAnsi="Arial" w:cs="Arial"/>
          <w:sz w:val="24"/>
          <w:szCs w:val="24"/>
        </w:rPr>
        <w:t>A</w:t>
      </w:r>
      <w:r w:rsidR="003C418B" w:rsidRPr="00247141">
        <w:rPr>
          <w:rFonts w:ascii="Arial" w:hAnsi="Arial" w:cs="Arial"/>
          <w:sz w:val="24"/>
          <w:szCs w:val="24"/>
        </w:rPr>
        <w:t>ção penal</w:t>
      </w:r>
      <w:r w:rsidRPr="00247141">
        <w:rPr>
          <w:rFonts w:ascii="Arial" w:hAnsi="Arial" w:cs="Arial"/>
          <w:sz w:val="24"/>
          <w:szCs w:val="24"/>
        </w:rPr>
        <w:t>.</w:t>
      </w:r>
    </w:p>
    <w:sectPr w:rsidR="009131CC" w:rsidRPr="00247141">
      <w:headerReference w:type="default" r:id="rId7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257" w:rsidRDefault="00497257">
      <w:pPr>
        <w:spacing w:line="240" w:lineRule="auto"/>
      </w:pPr>
      <w:r>
        <w:separator/>
      </w:r>
    </w:p>
  </w:endnote>
  <w:endnote w:type="continuationSeparator" w:id="0">
    <w:p w:rsidR="00497257" w:rsidRDefault="00497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257" w:rsidRDefault="00497257">
      <w:pPr>
        <w:spacing w:line="240" w:lineRule="auto"/>
      </w:pPr>
      <w:r>
        <w:separator/>
      </w:r>
    </w:p>
  </w:footnote>
  <w:footnote w:type="continuationSeparator" w:id="0">
    <w:p w:rsidR="00497257" w:rsidRDefault="004972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CC" w:rsidRDefault="009131CC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4.2pt;height:81pt" filled="t">
          <v:fill opacity="0" color2="black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264"/>
    <w:rsid w:val="00014E03"/>
    <w:rsid w:val="000B0B60"/>
    <w:rsid w:val="00136A8B"/>
    <w:rsid w:val="001A7D50"/>
    <w:rsid w:val="001B3DAA"/>
    <w:rsid w:val="00247141"/>
    <w:rsid w:val="00352536"/>
    <w:rsid w:val="003C418B"/>
    <w:rsid w:val="00497257"/>
    <w:rsid w:val="004F0C39"/>
    <w:rsid w:val="00845264"/>
    <w:rsid w:val="00856824"/>
    <w:rsid w:val="009131CC"/>
    <w:rsid w:val="00935893"/>
    <w:rsid w:val="009F1635"/>
    <w:rsid w:val="00B720BC"/>
    <w:rsid w:val="00B7223D"/>
    <w:rsid w:val="00D059BF"/>
    <w:rsid w:val="00D52E34"/>
    <w:rsid w:val="00E81287"/>
    <w:rsid w:val="00F247EF"/>
    <w:rsid w:val="00F9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2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rPr>
      <w:rFonts w:ascii="Calibri" w:eastAsia="Calibri" w:hAnsi="Calibri" w:cs="Times New Roman"/>
    </w:rPr>
  </w:style>
  <w:style w:type="character" w:customStyle="1" w:styleId="TextodenotaderodapChar">
    <w:name w:val="Texto de nota de rodapé Char"/>
    <w:basedOn w:val="Fontepargpadro1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Ttulo1Char">
    <w:name w:val="Título 1 Char"/>
    <w:basedOn w:val="Fontepargpadro1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DefaultParagraphFont">
    <w:name w:val="Default Paragraph Font"/>
  </w:style>
  <w:style w:type="character" w:customStyle="1" w:styleId="apple-converted-space">
    <w:name w:val="apple-converted-space"/>
    <w:basedOn w:val="DefaultParagraphFont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</w:style>
  <w:style w:type="paragraph" w:styleId="Textodenotaderodap">
    <w:name w:val="footnote text"/>
    <w:basedOn w:val="Normal"/>
    <w:pPr>
      <w:spacing w:line="240" w:lineRule="auto"/>
    </w:pPr>
    <w:rPr>
      <w:sz w:val="20"/>
      <w:szCs w:val="20"/>
    </w:rPr>
  </w:style>
  <w:style w:type="paragraph" w:customStyle="1" w:styleId="NoSpacing">
    <w:name w:val="No Spacing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F247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247EF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AGEX</dc:creator>
  <cp:lastModifiedBy>user</cp:lastModifiedBy>
  <cp:revision>2</cp:revision>
  <cp:lastPrinted>1601-01-01T00:00:00Z</cp:lastPrinted>
  <dcterms:created xsi:type="dcterms:W3CDTF">2016-08-16T01:49:00Z</dcterms:created>
  <dcterms:modified xsi:type="dcterms:W3CDTF">2016-08-16T01:49:00Z</dcterms:modified>
</cp:coreProperties>
</file>